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https://www.autoritedelaconcurrence.fr/fr/decision-de-controle-des-concentrations/relative-la-prise-de-controle-exclusif-de-la-societe-105</w:t>
      </w:r>
    </w:p>
    <w:p>
      <w:r>
        <w:t>Pages translated : 2</w:t>
      </w:r>
    </w:p>
    <w:p/>
    <w:p>
      <w:r>
        <w:rPr>
          <w:b/>
        </w:rPr>
        <w:t>[Pages 1–2]</w:t>
      </w:r>
    </w:p>
    <w:p>
      <w:r>
        <w:t xml:space="preserve">REPUBLIC OF FRANCE  </w:t>
        <w:br/>
        <w:t xml:space="preserve">Decision No. 14-DCC-199 of December 30, 2014  </w:t>
        <w:br/>
        <w:t xml:space="preserve">regarding the exclusive control acquisition of the company Citroën Orléans by  </w:t>
        <w:br/>
        <w:t>the company SOFIV</w:t>
      </w:r>
    </w:p>
    <w:p>
      <w:r>
        <w:t>The Competition Authority,</w:t>
      </w:r>
    </w:p>
    <w:p>
      <w:r>
        <w:t xml:space="preserve">Having regard to the notification file sent to the mergers department on November 26, 2014, and declared complete on December 15, 2014, concerning the exclusive control acquisition of the company Citroën Orléans by the company SOFIV, formalized by a bilateral promise of sale of business assets dated November 19, 2014;  </w:t>
        <w:br/>
        <w:t xml:space="preserve">Having regard to Book IV of the Commercial Code relating to the freedom of prices and competition, and in particular its Articles L. 430-1 to L. 430-7;  </w:t>
        <w:br/>
        <w:t>Having regard to the additional elements provided by the parties during the investigation;</w:t>
      </w:r>
    </w:p>
    <w:p>
      <w:r>
        <w:t xml:space="preserve">Adopts the following decision:  </w:t>
        <w:br/>
        <w:t xml:space="preserve">1. The notified operation consists of the exclusive control acquisition of the company Citroën Orléans, operating business assets of the Citroën brand in the towns of Olivet-la-Source and Saran in the Loiret department (45), by the company SOFIV, which is itself active in automobile distribution. It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14-212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