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https://www.autoritedelaconcurrence.fr/fr/decision-de-controle-des-concentrations/relative-la-prise-de-controle-exclusif-de-la-societe-109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14-DCC-48 of March 31, 2014  </w:t>
        <w:br/>
        <w:t xml:space="preserve">regarding the exclusive control acquisition of the company Bermasyl by the  </w:t>
        <w:br/>
        <w:t xml:space="preserve">company ITM Alimentaire Centre-Est  </w:t>
        <w:br/>
        <w:t>The Competition Authority,</w:t>
      </w:r>
    </w:p>
    <w:p>
      <w:r>
        <w:t xml:space="preserve">Having regard to the complete notification file sent to the mergers department on March 4, 2014,  </w:t>
        <w:br/>
        <w:t xml:space="preserve">concerning the exclusive control acquisition of the company Bermasyl by the company ITM Alimentaire  </w:t>
        <w:br/>
        <w:t>Centre-Est, materialized by a unilateral promise to purchase social rights dated September 27, 2011, and an option exercise letter dated January 15, 2014;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the company Bermasyl, operating  </w:t>
        <w:br/>
        <w:t xml:space="preserve">a food-dominant retail outlet under the Intermarché brand in the city of  </w:t>
        <w:br/>
        <w:t xml:space="preserve">Chalon-sur-Saône (71), by the company ITM Alimentaire Centre-Est. It constitutes a  </w:t>
        <w:br/>
        <w:t xml:space="preserve">concentration operation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competence of the European Union. On the other hand, the control thresholds related to retail  </w:t>
        <w:br/>
        <w:t xml:space="preserve">trade mentioned in 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14-036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