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w:t>
      </w:r>
    </w:p>
    <w:p>
      <w:r>
        <w:t>Pages translated : 7</w:t>
      </w:r>
    </w:p>
    <w:p/>
    <w:p>
      <w:r>
        <w:rPr>
          <w:b/>
        </w:rPr>
        <w:t>[Pages 1–3]</w:t>
      </w:r>
    </w:p>
    <w:p>
      <w:r>
        <w:t xml:space="preserve">FRENCH REPUBLIC  </w:t>
        <w:br/>
        <w:t xml:space="preserve">Decision No. 10-DCC-157 of November 5, 2010  </w:t>
        <w:br/>
        <w:t xml:space="preserve">regarding the exclusive control of Lehwood Montparnasse SAS by Doria SAS  </w:t>
        <w:br/>
        <w:t xml:space="preserve">The Competition Authority,  </w:t>
        <w:br/>
        <w:t xml:space="preserve">Having regard to the notification file submitted in full to the merger service on October 1, 2010, regarding the acquisition by Doria S.A.S of Lehwood Montparnasse S.A.S, formalized by a share transfer agreement dated September 17,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Doria SAS (hereinafter "Doria") is a 100% subsidiary of Unibail-Rodamco S.E (hereinafter "Unibail-Rodamco"). Unibail-Rodamco is a real estate management company resulting from the merger of Unibail and Rodamco Europe in 2007. Unibail-Rodamco has an international and diversified shareholder base, primarily composed of institutional investors from the Netherlands, the United Kingdom, the United States, and France. [Confidential]. The real estate assets of Unibail-Rodamco are valued at €22.3 billion as of December 31, 2009.  </w:t>
        <w:br/>
        <w:t xml:space="preserve">2. Unibail-Rodamco operates in three segments of commercial real estate: (i) shopping centers with 95 shopping centers located in France and twelve countries in Europe, representing 74% of the company's assets; (ii) offices, which are primarily large buildings identified as strategic due to their location and potential for appreciation, most of which are located in the central business district of the  </w:t>
        <w:br/>
        <w:t>1 See letter from the Minister of Economy, Finance and Employment dated May 22, 2007, to the board of Unibail, regarding a concentration in the real estate services sector.</w:t>
      </w:r>
    </w:p>
    <w:p>
      <w:r>
        <w:t xml:space="preserve">Defense, representing 18% of the company's assets; and (iii) congress and exhibition spaces representing 8% of the company's assets. The Group's congress-exhibition activities are consolidated in two companies, Viparis and Comexposium, held equally with the Paris Chamber of Commerce and Industry2 (hereinafter "CCIP"). Viparis manages 300,000 m2 spread over ten Parisian sites where it hosts trade shows, performances, congresses, and corporate events, for the general public and professionals from all sectors. Viparis hosts 330 trade shows, more than 100 performances, 150 congresses, and 620 corporate events annually, and more than 11 million visitors. Comexposium, on the other hand, originates from the effective merger as of November 30, 2009, of Comexpo and Exposium, two companies active in organizing trade shows.  </w:t>
        <w:br/>
        <w:t xml:space="preserve">3. Lehwood Montparnasse SAS (hereinafter "Lehwood Montparnasse") is 100% owned and exclusively controlled by Lehwood Holding France SAS (hereinafter "Lehwood"). Lehwood Montparnasse owns and operates the "Le Méridien Montparnasse" hotel in the 14th arrondissement of Paris.  </w:t>
        <w:br/>
        <w:t xml:space="preserve">4. The proposed operation consists of the acquisition by Unibail-Rodamco, via its subsidiary Doria, of all the share capital and voting rights of Lehwood Montparnasse. The operation results in the exclusive control of Lehwood Montparnasse by Unibail-Rodamco, and constitutes a concentration within the meaning of Article L. 430-1 of the Commercial Code.  </w:t>
        <w:br/>
        <w:t xml:space="preserve">5. The concerned companies together achieved a consolidated turnover excluding taxes of more than €150 million worldwide in 2009 (Unibail-Rodamco: €1.62 billion; Lehwood Montparnasse: €50.5 million). Each of these companies achieved a turnover in France exceeding €50 million (Unibail-Rodamco: […] billion euros; Lehwood Montparnasse: €50.5 million).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MANAGEMENT OF CONGRESS, EXHIBITION, SYMPOSIUM, OR CONVENTION SITES AND FAIRS AND TRADE SHOWS  </w:t>
        <w:br/>
        <w:t xml:space="preserve">1. PRODUCT MARKET  </w:t>
        <w:br/>
        <w:t xml:space="preserve">6. Unibail-Rodamco and Lehwood Montparnasse, respectively through Viparis and the Le Méridien Montparnasse hotel, engage in site management activities hosting congresses, exhibitions, symposiums, or conventions. Unibail-Rodamco also engages in site management activities hosting trade shows and fairs, a sector in which Lehwood Montparnasse is not present.  </w:t>
        <w:br/>
        <w:t xml:space="preserve">2 See letter from the Minister of Economy, Finance and Employment dated November 13, 2007, to the board of CCIP, regarding a concentration in the trade show organization sector.  </w:t>
        <w:br/>
        <w:t>2</w:t>
      </w:r>
    </w:p>
    <w:p>
      <w:r>
        <w:t xml:space="preserve">7. Decision-making practice has considered it relevant to distinguish between the management of sites hosting congresses, exhibitions, symposiums, or conventions and the management of sites hosting fairs and trade shows. It has emphasized that congresses, exhibitions, symposiums, or conventions are events organized by professional associations, scientific associations, public authorities, international organizations and do not explicitly have a commercial purpose, but rather an aim of information, networking, or even training, insofar as they are generally specialized conferences around a scientific or economic theme, whereas fairs and trade shows are commercial events consisting of the periodic grouping of exhibitors presenting samples of products or services to professional buyers or the public with the intention of making their qualities known and generating orders. It added that, aside from the different purposes of congresses, exhibitions, symposiums, or conventions compared to fairs and trade shows, the technical equipment necessary for holding these two types of events is different, with congresses, exhibitions, symposiums, or conventions requiring auditoriums and meeting rooms, while fairs and trade shows require large, more open exhibition halls allowing for easy visitor circulation, which explains the relative specialization of sites in France to primarily host one or the other of these events.  </w:t>
        <w:br/>
        <w:t xml:space="preserve">8. However, decision-making practice has not ruled on a possible sub-segmentation of the market for managing sites hosting congresses, exhibitions, symposiums, or conventions based on, in particular, the more or less significant specialization of the sites that can host these events (strictly defined congress spaces, hotels, or other venues that can host such events) or the size of the exhibition spaces or events.  </w:t>
        <w:br/>
        <w:t xml:space="preserve">9. It is, however, not necessary in the context of examining the notified operation to rule on a possible sub-segmentation of this market, as, regardless of the delimitation retained, the conclusions of the analysis remain unchanged.  </w:t>
        <w:br/>
        <w:t xml:space="preserve">2. GEOGRAPHICAL MARKET  </w:t>
        <w:br/>
        <w:t xml:space="preserve">10. Decision-making practice has considered that the market for managing congress, exhibition, symposium, or convention sites is at least national in scope and often international, as, in addition to their professional dimension, congresses, exhibitions, symposiums, or conventions also have a tourist dimension. International sites thus exert real competitive pressure on French and particularly Parisian sites, with Paris benefiting from a specific status given its tourist appeal.  </w:t>
        <w:br/>
        <w:t xml:space="preserve">11. In this case, the precise delimitation of the market can be left open, as, regardless of the delimitation retained, the conclusions of the analysis remain unchanged.  </w:t>
        <w:br/>
        <w:t xml:space="preserve">3 See in particular the letter from the Minister of Economy, Finance and Industry dated March 14, 2005, to the board of Unibail Holding SA, regarding a concentration in the trade show organization sector; Opinion No. 07-A-10 of September 26, 2007, regarding the merger of the activities of the Paris Chamber of Commerce and Industry and Unibail Holding SA in the sector of managing congress-exhibition sites and organizing fairs and trade shows; Letter from the Minister of Economy, Finance and Employment dated November 13, 2007, to the board of CCIP, regarding a concentration in the trade show organization sector.  </w:t>
        <w:br/>
        <w:t xml:space="preserve">4 See the aforementioned decisions.  </w:t>
        <w:br/>
        <w:t>3</w:t>
      </w:r>
    </w:p>
    <w:p>
      <w:r>
        <w:rPr>
          <w:b/>
        </w:rPr>
        <w:t>[Pages 4–6]</w:t>
      </w:r>
    </w:p>
    <w:p>
      <w:r>
        <w:t xml:space="preserve">B. ANCILLARY SERVICE PROVISIONS  </w:t>
        <w:br/>
        <w:t xml:space="preserve">1. PRODUCT MARKETS  </w:t>
        <w:br/>
        <w:t xml:space="preserve">12. Ancillary service providers implement and supply various elements necessary for the execution of an event in partnership with organizers and end users of ancillary services. The suppliers and demanders vary according to the services considered. Nevertheless, certain site managers, organizers, or specialized service companies offer exhibitors a set of services, either à la carte or in packages. These services can therefore be billed either directly to the end user of the ancillary services or to an intermediary who then re-invoices them to the end user.  </w:t>
        <w:br/>
        <w:t xml:space="preserve">13. Decision-making practice has distinguished within the ancillary services, those that are directly related to the site from those that are not directly related to the site. Indeed, certain services related to the very infrastructure of the site (electrical connections, plumbing, supply of compressed air and lighting, electronic communication services, rigging, signage, site security, and cash management) are strictly complementary to the rental of the site and, as such, are considered by site managers as "mandatory," particularly for safety reasons, any incident potentially engaging the civil and criminal liability of the site managers. These services are said to be "exclusive" if their consumption can be attributed to a particular end user. Previous decision-making practice has therefore considered that services directly related to the infrastructure of the site fall more within the activity of site management than within a market of ancillary services, the site manager being able to define alone the conditions for the execution of these services. On the other hand, it has recognized the existence of a distinct market, referred to as "competitive," concerning other ancillary service provisions not directly related to the site, on which end users can leverage competition between site managers, organizers if they offer these services, and specialized providers.  </w:t>
        <w:br/>
        <w:t xml:space="preserve">14. It is therefore necessary to distinguish on the one hand, an upstream market for the supply of services re-invoiced to the end user (whether their nature is mandatory, exclusive, or competitive) and, on the other hand, a market for competitive services sold in "packages," related to that of site management. In this case, the activities of the parties overlap in the market for competitive services sold in "packages." Only Unibail-Rodamco is active in the upstream market for the supply of services re-invoiced to the end user, Lehwood Montparnasse providing these ancillary services directly to end users, without resorting to specialized providers.  </w:t>
        <w:br/>
        <w:t xml:space="preserve">2. GEOGRAPHICAL MARKETS  </w:t>
        <w:br/>
        <w:t>15. Decision-making practice has left the precise delineation of the geographical market for ancillary services open. In this case, the question of the exact delineation of the hotel markets may be left open insofar as, regardless of the segmentation adopted, the conclusions of the analysis remain unchanged.</w:t>
      </w:r>
    </w:p>
    <w:p>
      <w:r>
        <w:t xml:space="preserve">III. Competitive Analysis  </w:t>
        <w:br/>
        <w:t xml:space="preserve">A. THE MARKET FOR THE MANAGEMENT OF CONGRESS, EXHIBITIONS, SYMPOSIUMS, OR CONVENTIONS  </w:t>
        <w:br/>
        <w:t xml:space="preserve">16. Unibail-Rodamco manages, via Viparis, eight sites hosting congresses, exhibitions, symposiums, or conventions: the Carrousel du Louvre, the CNIT, the Palais des Congrès de Paris, the Palais des Congrès d'Issy les Moulineaux, the Palais des Congrès de Versailles, Paris Le Bourget, Paris Nord Villepinte, and Paris Porte de Versailles. Unibail-Rodamco also holds a 50% stake in the capital of the Palais des Sports company, the remaining 50% being held by a natural person who manages the Palais des Sports. All of these sites represent a total area of 39,172 m2 and 36,664 seats. Viparis hosts 150 congresses and numerous corporate events each year.  </w:t>
        <w:br/>
        <w:t xml:space="preserve">17. Lehwood Montparnasse owns and operates the Le Méridien Montparnasse hotel, a four-star hotel with 953 rooms and suites, a conference center of 3,500 m2, 21 modular lounges, and 24 breakout rooms, totaling an area of 4,215 m2 and 3,510 seats. The hotel hosts congresses, exhibitions, symposiums, or conventions.  </w:t>
        <w:br/>
        <w:t xml:space="preserve">Sites of the parties Area (m2) Seats  </w:t>
        <w:br/>
        <w:t xml:space="preserve">Unibail-Rodamco 39,172 36,664  </w:t>
        <w:br/>
        <w:t xml:space="preserve">Palais des congrès de Paris 12,014 9,910  </w:t>
        <w:br/>
        <w:t xml:space="preserve">Palais des congrès de Versailles 2,800 2,470  </w:t>
        <w:br/>
        <w:t xml:space="preserve">CNIT (Hilton hotel not included) 6,992 6,015  </w:t>
        <w:br/>
        <w:t xml:space="preserve">Paris Nord Villepinte 4,070 4,660  </w:t>
        <w:br/>
        <w:t xml:space="preserve">Paris Le Bourget 528 479  </w:t>
        <w:br/>
        <w:t xml:space="preserve">Porte de Versailles 2,803 3,079  </w:t>
        <w:br/>
        <w:t xml:space="preserve">Palais des Sports 400 4,200  </w:t>
        <w:br/>
        <w:t xml:space="preserve">Carrousel du Louvre 7,125 4,200  </w:t>
        <w:br/>
        <w:t xml:space="preserve">Palis des congrès d'Issy les Moulineaux 2,440 1,651  </w:t>
        <w:br/>
        <w:t xml:space="preserve">Lehwood Montparnasse 4,215 3,510  </w:t>
        <w:br/>
        <w:t xml:space="preserve">Le Méridien Montparnasse 4,215 3,510  </w:t>
        <w:br/>
        <w:t xml:space="preserve">Total 43,387 40,174  </w:t>
        <w:br/>
        <w:t xml:space="preserve">18. The parties estimate the size of the national market for the management of congress sites and for the Île-de-France region as follows:  </w:t>
        <w:br/>
        <w:t>Sources: Data extracted from the "Réunir" 2010 and "Bedouk" 2010 guides, supplemented by the internal estimates of the parties.</w:t>
      </w:r>
    </w:p>
    <w:p>
      <w:r>
        <w:t xml:space="preserve">Size of the market in the Île-de-France region  </w:t>
        <w:br/>
        <w:t xml:space="preserve">Size of the market at the national level  </w:t>
        <w:br/>
        <w:t xml:space="preserve">Area (m2) Seats Area (m2) Seats  </w:t>
        <w:br/>
        <w:t xml:space="preserve">Congress sites in the strict sense […] […] […] […]  </w:t>
        <w:br/>
        <w:t xml:space="preserve">Hotels […] […] […] […]  </w:t>
        <w:br/>
        <w:t xml:space="preserve">Others […] […] […] […]  </w:t>
        <w:br/>
        <w:t xml:space="preserve">Total […] […] […] […]  </w:t>
        <w:br/>
        <w:t xml:space="preserve">19. In the segment of the management of congress sites including all types of sites likely to host congresses, exhibitions, symposiums, or conventions, namely strictly defined congress sites but also hotels and other venues likely to host these events, the combined market share of the parties amounts to [10-20]% at the national level in terms of area (Unibail-Rodamco: [5-10]%; Lehwood Montparnasse: [0-5]%) and to [10-20]% in terms of the number of seats (Unibail-Rodamco: [10-20]%; Lehwood Montparnasse: [0-5]%). In the Île-de-France region, the combined market share of the parties amounts to [20-30]% in terms of area (Unibail-Rodamco: [20-30]%; Lehwood Montparnasse: [0-5]%) and to [30-40]% in terms of the number of seats (Unibail-Rodamco: [30-40]%; Lehwood Montparnasse: [0-5]%).  </w:t>
        <w:br/>
        <w:t xml:space="preserve">20. It follows from these elements that the parties will have a combined market share of less than [20-30]% at the national level and less than [30-40]% in the Île-de-France region, the increment represented by the market share of Lehwood Montparnasse being in any case less than [0-5]%.  </w:t>
        <w:br/>
        <w:t xml:space="preserve">21. It should also be noted that only Unibail-Rodamco is active in the segment of the management of congress sites in the strict sense, while only Lehwood Montparnasse is active in the segment of hotel management likely to host congresses, exhibitions, symposiums, or conventions.  </w:t>
        <w:br/>
        <w:t xml:space="preserve">22. Furthermore, as noted by the Competition Council in its opinion No. 07-A-10 of September 26, 2007, and the Minister of Economy in his decision C2007-14 of November 13, 2007, the supply of sites is very diverse regardless of the nature or size of the congress considered. Thus, the offer of large European sites can meet the needs of congresses of national or international dimensions, such as those taking place at Unibail-Rodamco sites. Moreover, the offer of numerous Parisian hotels allows for the satisfaction of space needs for small events. Additionally, sites such as the Maison de la Chimie, the Palais de la Bourse, the Cité des Sciences et de l’Industrie, or the Disneyland Paris complex can meet the demand for medium-sized events.  </w:t>
        <w:br/>
        <w:t>23. Finally, the barriers to entry are low, as demonstrated by the existence of several construction and expansion projects for congress and exhibition sites such as the Landy France II project (Stade de France district) aimed at developing new hotel capacities; the Centre Esterel project (Stade de France district) aimed at creating a convention center of 25,000 m2 including a performance hall, convention hall, conference space, and meeting rooms; the project for the establishment of a congress and exhibition center in Val d'Europe as part of a global project covering an area of 20,000 m2; the Airopolis project aimed at constructing a congress hall of 18,000 m2 in the heart of the new business center of Roissy; the Cœur d’Orly project aimed at constructing a congress and exhibition center at Orly airport, as well as numerous significant hotel projects that will include dedicated spaces for congresses.</w:t>
      </w:r>
    </w:p>
    <w:p>
      <w:r>
        <w:rPr>
          <w:b/>
        </w:rPr>
        <w:t>[Pages 7–7]</w:t>
      </w:r>
    </w:p>
    <w:p>
      <w:r>
        <w:t xml:space="preserve">24. It follows from these elements that the operation is not likely to harm competition regardless of the market segmentation chosen.  </w:t>
        <w:br/>
        <w:t xml:space="preserve">B. THE ANCILLARY SERVICE MARKET  </w:t>
        <w:br/>
        <w:t xml:space="preserve">25. Unibail generated, through the companies Viparis and Exposium, a turnover of […] million euros in 2009 from the provision of ancillary services, of which […] million euros came from the provision of competitive services.  </w:t>
        <w:br/>
        <w:t xml:space="preserve">26. Lehwood Montparnasse generated, through the hotel Le Méridien Montparnasse, a turnover of […] million euros in 2009 from the provision of competitive services primarily consisting of audiovisual services and marginally from the provision of hostesses, flowers, or even security personnel. For the rest, whether related to the site or competitive services, they are provided directly by the hotel and are included in a package that does not specify the various services rendered. According to Lehwood Montparnasse, these various other services (excluding accommodation and breakfast) represented a turnover of approximately […] million euros in 2009.  </w:t>
        <w:br/>
        <w:t xml:space="preserve">27. The parties estimate that the size of the ancillary service provision sector in France, encompassing all types of services (mandatory, exclusive, and competitive), in value for the year 2009, exceeds […] billion euros. The combined market share of the parties is around [10-20]%, of which less than [0-5]% is contributed by Lehwood Montparnasse.  </w:t>
        <w:br/>
        <w:t xml:space="preserve">28. It follows from the above that the operation is not likely to harm competition in the ancillary service provision market.  </w:t>
        <w:br/>
        <w:t xml:space="preserve">DECIDES  </w:t>
        <w:br/>
        <w:t xml:space="preserve">Sole Article: The operation notified under number 10-0167 is authorized.  </w:t>
        <w:br/>
        <w:t xml:space="preserve">The President,  </w:t>
        <w:br/>
        <w:t xml:space="preserve">Bruno Lasserre  </w:t>
        <w:br/>
        <w:t xml:space="preserve">Competition Authority  </w:t>
        <w:br/>
        <w:t xml:space="preserve">7 The parties do not have estimates of the size of the competitive ancillary services market.  </w:t>
        <w:b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