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https://www.autoritedelaconcurrence.fr/fr/decision-de-controle-des-concentrations/relative-la-prise-de-controle-exclusif-de-la-societe-110</w:t>
      </w:r>
    </w:p>
    <w:p>
      <w:r>
        <w:t>Pages translated : 6</w:t>
      </w:r>
    </w:p>
    <w:p/>
    <w:p>
      <w:r>
        <w:rPr>
          <w:b/>
        </w:rPr>
        <w:t>[Pages 1–3]</w:t>
      </w:r>
    </w:p>
    <w:p>
      <w:r>
        <w:t xml:space="preserve">FRENCH REPUBLIC  </w:t>
        <w:br/>
        <w:t xml:space="preserve">Decision No. 14-DCC-56 of April 14, 2014  </w:t>
        <w:br/>
        <w:t xml:space="preserve">regarding the exclusive control of the company Groupe Euriware  </w:t>
        <w:br/>
        <w:t>by the company Capgemini France</w:t>
      </w:r>
    </w:p>
    <w:p>
      <w:r>
        <w:t xml:space="preserve">The Competition Authority,  </w:t>
        <w:br/>
        <w:t xml:space="preserve">Having regard to the notification file submitted in full to the merger service on March 10, 2014, regarding the exclusive control by the company Capgemini France of the company Groupe Euriware, formalized by a transfer agreement dated February 26, 2014;  </w:t>
        <w:br/>
        <w:t xml:space="preserve">Having regard to Book IV of the Commercial Code relating to the freedom of prices and competition, and in particular its Articles L. 430-1 to L. 430-10;  </w:t>
        <w:br/>
        <w:t xml:space="preserve">Having regard to the supplementary elements transmitted by the parties during the investigation;  </w:t>
        <w:br/>
        <w:t>Adopts the following decision:</w:t>
      </w:r>
    </w:p>
    <w:p>
      <w:r>
        <w:t xml:space="preserve">I. The companies concerned and the operation  </w:t>
        <w:br/>
        <w:t xml:space="preserve">1. Capgemini France is the holding company of the French subsidiaries of the Capgemini group (hereinafter "Capgemini"). It is 100% owned by Cap Gemini SA, the parent company of Capgemini. Cap Gemini SA is a listed company whose shareholders do not have veto rights that would grant them decisive influence over the strategic decisions of the company. Capgemini specializes in IT services and organizational consulting. It is organized around four business areas: (i) strategy and transformation consulting, (ii) systems and application integration, (iii) managed services, and (iv) local IT services.  </w:t>
        <w:br/>
        <w:t xml:space="preserve">2. Groupe Euriware (hereinafter "Euriware") is a simplified joint-stock company wholly owned by Areva NP (hereinafter "Areva"). Euriware is an IT services company specializing in (i) IT system integration, (ii) managed services, and, to a lesser extent, (iii) IT consulting services. Euriware is also active in the management of nuclear power plants.  </w:t>
        <w:br/>
        <w:t xml:space="preserve">3. Under a transfer agreement dated February 26, 2014, Capgemini France has acquired all the shares representing 100% of the share capital and voting rights of Euriware currently held by Areva. The activity of managing nuclear power plants is not part of the scope of the transfer and will be transferred to Areva prior to the operation.  </w:t>
        <w:br/>
        <w:t xml:space="preserve">4. As it results in the acquisition of exclusive control of Euriware by Capgemini France, the notified operation is a concentration within the meaning of Article L. 430-1 of the Commercial Code.  </w:t>
        <w:br/>
        <w:t>5. The companies concerned together achieve a total worldwide turnover of more than 150 million euros (Capgemini: 10.2 billion euros for the fiscal year ending December 31, 2012; Euriware: 239.7 million euros for the same fiscal year). Capgemini and Euriware each achieve, in France, a turnover exceeding 50 million euros (Capgemini: 2.2 billion euros for the fiscal year ending December 31, 2012; Euriware: 239.7 million euros for the same fiscal year). Given these turnover figures,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w:t>
      </w:r>
    </w:p>
    <w:p>
      <w:r>
        <w:t xml:space="preserve">II. Definition of the relevant markets  </w:t>
        <w:br/>
        <w:t xml:space="preserve">6. The parties to the operation are simultaneously active in the IT services sector in terms of consulting, global management (managed services), and software development and integration.  </w:t>
        <w:br/>
        <w:t xml:space="preserve">A. SERVICE MARKETS  </w:t>
        <w:br/>
        <w:t xml:space="preserve">7. The competition authorities, both French and European, have already had the opportunity to rule on the definition of the relevant markets in the IT services sector, while leaving the question open. The decision-making practice has thus considered that seven functional categories of services could be distinguished within the IT services market: (i) global management services, (ii) business management services, (iii) software development and integration, (iv) consulting, (v) software maintenance and logistical support, (vi) hardware maintenance and logistical support, and (vii) education and training. However, it has not been excluded that these seven categories of services could be considered as belonging to a global market for IT services insofar as clients generally seek a service integrating all the activities described above and there is a high degree of substitutability on the supply side.  </w:t>
        <w:br/>
        <w:t xml:space="preserve">8. Different alternative or complementary segmentations have also been considered according to:  </w:t>
        <w:br/>
        <w:t xml:space="preserve">- the type of clientele, SMEs/SMIs or large accounts;  </w:t>
        <w:br/>
        <w:t xml:space="preserve">- the types of information and communication systems: (i) management application systems, which include IT services used to fulfill a horizontal function within companies or administrations; (ii) embedded industrial technical scientific application systems; (iii) generic application systems; (iv) IT infrastructure systems; and (v) communication and enterprise network infrastructure systems;  </w:t>
        <w:br/>
        <w:t xml:space="preserve">- the sector of activity, namely: (i) communications, (ii) education, (iii) energy and local networks, (iv) financial services, (v) the public sector, (vi) health, (vii) industry, (viii) commerce and distribution, (ix) services, and (x) transport.  </w:t>
        <w:br/>
        <w:t xml:space="preserve">9. There is no need to challenge these segmentations in the context of the present operation.  </w:t>
        <w:br/>
        <w:t xml:space="preserve">B. GEOGRAPHICAL MARKETS  </w:t>
        <w:br/>
        <w:t xml:space="preserve">10. The competition authorities have, on several occasions, held that the markets for IT services were of national dimension, notably due to the necessity for service providers to communicate regularly in the language of their clients and to maintain a relative proximity to them. However, they have noted a certain internationalization of supply and demand.  </w:t>
        <w:br/>
        <w:t>11. In this case, the competitive analysis will be conducted at the national level.</w:t>
      </w:r>
    </w:p>
    <w:p>
      <w:r>
        <w:t xml:space="preserve">III. Competitive analysis  </w:t>
        <w:br/>
        <w:t xml:space="preserve">A. ANALYSIS OF HORIZONTAL EFFECTS  </w:t>
        <w:br/>
        <w:t>12. In the overall market for IT services, the combined market share of the parties is [5-10]% in 2012 with a limited market share increment of [0-5]% (market share of Euriware). The French IT services market has a significant number of operators, estimated at over 19,300, including large international groups such as IBM, Accenture, Atos, Hewlett-Packard (HP), Orange Business Services, KPMG, Deloitte, or Logica.</w:t>
      </w:r>
    </w:p>
    <w:p>
      <w:r>
        <w:rPr>
          <w:b/>
        </w:rPr>
        <w:t>[Pages 4–6]</w:t>
      </w:r>
    </w:p>
    <w:p>
      <w:r>
        <w:t>13. In the event of segmentation by type of services, the activities of the parties overlap in three of the seven functional categories of services: consulting, global management, and software development and integration:</w:t>
        <w:br/>
        <w:t>- in the consulting segment, the combined market share of the parties is [5-10]%, with Euriware representing [0-5]% of the market;</w:t>
        <w:br/>
        <w:t>- in the global management segment, the combined market share of the parties is [10-20]% (increment of [0-5]%);</w:t>
        <w:br/>
        <w:t>- in the software development and integration segment, the combined market share of the parties is [10-20]%, with Euriware representing [0-5]% of the market.</w:t>
        <w:br/>
        <w:t>14. In the event of segmentation by type of clientele, the parties offer their services to large accounts and SMEs-SMIs. On these two segments, their combined market share is below [10-20]% and the market share increment is limited: [0-5]% in the large accounts segment and [0-5]% in the SMEs-SMIs segment.</w:t>
        <w:br/>
        <w:t>15. In the event of segmentation by type of information and communication systems, the operation results in an overlap of activities in three types of information and communication systems: management application systems, embedded industrial technical scientific application systems, and IT infrastructure systems. In each of these segments, the market share of the new entity will be below [10-20]% with an increment below [0-5]%.</w:t>
        <w:br/>
        <w:t>16. In the event of segmentation by sector of activity, the activities of the parties overlap in the sectors of energy and local networks, the public sector, industry, communications, financial services, services, and transport:</w:t>
        <w:br/>
        <w:t>- in the energy and local networks segment, the combined market share of the parties is [10-20]%, with Euriware representing [0-5]% of the market;</w:t>
        <w:br/>
        <w:t>- in the public sector segment, the combined market share of the parties is [10-20]% (increment of [0-5]%);</w:t>
        <w:br/>
        <w:t>- in the industry segment, the combined market share of the parties is [10-20]%, with Euriware representing [0-5]% of the market;</w:t>
        <w:br/>
        <w:t>- in the other segments, the combined market share of the parties is below [5-10]% and the market share increment is below [0-5]%.</w:t>
        <w:br/>
        <w:t>17. In each of these market segments, there will remain numerous competitors following the operation such as Atos, IBM, Accenture, HP, Logica, Deloitte, PwC, Steria, Sopra, or Orange Business Services, operators who are, for the vast majority of them, international groups.</w:t>
        <w:br/>
        <w:t>18. The proposed operation is therefore not likely to affect competition through horizontal effects.</w:t>
      </w:r>
    </w:p>
    <w:p>
      <w:r>
        <w:t>B. ANALYSIS OF VERTICAL EFFECTS</w:t>
        <w:br/>
        <w:t>19. A vertical concentration can restrict competition by making access to the markets in which the new entity will be active more difficult, potentially excluding competitors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w:t>
        <w:br/>
        <w:t>20. In this case, the vertical relationship between the parties is twofold. On the one hand, Euriware is a customer of Capgemini in the segments of global management, IT infrastructure systems, and services (generated revenue: […] euros). On the other hand, Euriware is a subcontractor of Capgemini in the segments of system development and integration, management application systems, industry, and energy and local networks (generated revenue: […] euros).</w:t>
        <w:br/>
        <w:t>21. The decision-making practice of competition authorities generally dismisses the risks of market lock-in when the market share of the company resulting from the operation in the relevant markets does not exceed 30%. In this case, the combined market share of the parties is below [10-20]% in each of the aforementioned segments. The new entity will therefore not have the necessary market power to lock its competitors out of the IT services market.</w:t>
        <w:br/>
        <w:t>22. Consequently, the operation is not likely to harm competition through vertical effects.</w:t>
      </w:r>
    </w:p>
    <w:p>
      <w:r>
        <w:t>C. ANALYSIS OF CONGLOMERATE EFFECTS</w:t>
        <w:br/>
        <w:t>23. A concentration is likely to have conglomerate effects when the new entity extends or strengthens its presence in several markets whose connection may allow it to exploit a leverage effect. The company thus increases the sales of a product in one market by leveraging its strong market position in another product to which the first product is linked or bundled.</w:t>
        <w:br/>
        <w:t>24. In the same way as for vertical effects, the decision-making practice of competition authorities generally dismisses the risks of conglomerate effects when the market share of the company resulting from the operation in the relevant markets does not exceed 30%.</w:t>
        <w:br/>
        <w:t>25. In this case, the combined market share of the parties is below [10-20]% across all market segments concerned by the operation. Furthermore, the competitors of the parties are likely to offer, for the vast majority (for example Atos, Accenture, IBM, or Orange Business Services), a range of IT services as extensive as that of the new entity. A strategy of tying or bundling different types of IT services would therefore have little impact on competition.</w:t>
        <w:br/>
        <w:t>26. Consequently, the operation is not likely to harm competition through conglomerate effects.</w:t>
      </w:r>
    </w:p>
    <w:p>
      <w:r>
        <w:t>DECIDES</w:t>
        <w:br/>
        <w:t>Single Article: The operation notified under number 14-039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