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https://www.autoritedelaconcurrence.fr/fr/decision-de-controle-des-concentrations/relative-la-prise-de-controle-exclusif-de-la-societe-111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14-DCC-87 of June 23, 2014  </w:t>
        <w:br/>
        <w:t xml:space="preserve">regarding the exclusive control acquisition of the company Menudis  </w:t>
        <w:br/>
        <w:t>by the company CSF (Carrefour Group)</w:t>
      </w:r>
    </w:p>
    <w:p>
      <w:r>
        <w:t>The Competition Authority,</w:t>
      </w:r>
    </w:p>
    <w:p>
      <w:r>
        <w:t xml:space="preserve">Having regard to the complete notification file sent to the mergers department on May 22, 2014,  </w:t>
        <w:br/>
        <w:t xml:space="preserve">concerning the exclusive control acquisition of the company Menudis by the company CSF, and formalized  </w:t>
        <w:br/>
        <w:t>by a share transfer agreement dated May 15, 2014;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of the company Menudis, which  </w:t>
        <w:br/>
        <w:t xml:space="preserve">operates a predominantly food distribution business under the Carrefour Market brand  </w:t>
        <w:br/>
        <w:t xml:space="preserve">in the city of Menucourt (95), by the company CSF, a 100% subsidiary of the Carrefour Group.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 </w:t>
        <w:br/>
        <w:t xml:space="preserve">fall under the jurisdiction of the European Union. On the other hand, the control thresholds  </w:t>
        <w:br/>
        <w:t xml:space="preserve">related to retail trade mentioned in point II of Article L. 430-2 of the Commercial Code are exceeded.  </w:t>
        <w:br/>
        <w:t xml:space="preserve">The present operation is therefore subject to the provisions of Articles  </w:t>
        <w:br/>
        <w:t>L. 430-3 and following of the Commercial Code relating to economic concentration.</w:t>
      </w:r>
    </w:p>
    <w:p>
      <w:r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14-083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