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https://www.autoritedelaconcurrence.fr/fr/decision-de-controle-des-concentrations/relative-la-prise-de-controle-exclusif-de-la-societe-114</w:t>
      </w:r>
    </w:p>
    <w:p>
      <w:r>
        <w:t>Pages translated : 4</w:t>
      </w:r>
    </w:p>
    <w:p/>
    <w:p>
      <w:r>
        <w:rPr>
          <w:b/>
        </w:rPr>
        <w:t>[Pages 1–3]</w:t>
      </w:r>
    </w:p>
    <w:p>
      <w:r>
        <w:t xml:space="preserve">FRENCH REPUBLIC  </w:t>
        <w:br/>
        <w:t xml:space="preserve">Decision No. 15-DCC-08 of February 12, 2015  </w:t>
        <w:br/>
        <w:t xml:space="preserve">regarding the exclusive control of Promens Group AS  </w:t>
        <w:br/>
        <w:t xml:space="preserve">by RPC Group Plc  </w:t>
        <w:br/>
        <w:t xml:space="preserve">The Competition Authority,  </w:t>
        <w:br/>
        <w:t xml:space="preserve">Having regard to the notification file submitted in full to the merger service on January 13, 2015,  </w:t>
        <w:br/>
        <w:t xml:space="preserve">regarding the acquisition of Promens Group AS by RPC Group Plc,  </w:t>
        <w:br/>
        <w:t xml:space="preserve">formalized by a purchase option dated November 27, 2014;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supplementary elements transmitted by the parties during the investigation;  </w:t>
        <w:br/>
        <w:t xml:space="preserve">Adopts the following decision:  </w:t>
        <w:br/>
        <w:t xml:space="preserve">I. The concerned companies and the transaction  </w:t>
        <w:br/>
        <w:t xml:space="preserve">1. RPC Group Plc (hereinafter, "RPC") is a company under English law primarily active in  </w:t>
        <w:br/>
        <w:t xml:space="preserve">the sector of manufacturing rigid plastic packaging materials. RPC is also  </w:t>
        <w:br/>
        <w:t xml:space="preserve">active in the manufacturing of plastic parts for the automotive industry. RPC is listed on the  </w:t>
        <w:br/>
        <w:t xml:space="preserve">London Stock Exchange. RPC has 55 production sites located in 19 countries, of which  </w:t>
        <w:br/>
        <w:t xml:space="preserve">six sites are located in France.  </w:t>
        <w:br/>
        <w:t xml:space="preserve">2. Promens Group AS (hereinafter, "Promens") is a company under Norwegian law, owned by  </w:t>
        <w:br/>
        <w:t xml:space="preserve">[...] % by an Icelandic holding company Promens hf, which is itself controlled by the  </w:t>
        <w:br/>
        <w:t xml:space="preserve">Icelandic investment companies Horn Invest ([confidential]) and The Enterprise Investment Fund  </w:t>
        <w:br/>
        <w:t xml:space="preserve">([... ] %). Promens is active in the sector of manufacturing rigid plastic packaging materials.  </w:t>
        <w:br/>
        <w:t xml:space="preserve">It is present in about twenty countries worldwide through approximately 40  </w:t>
        <w:br/>
        <w:t xml:space="preserve">sites, including seven production sites in France.  </w:t>
        <w:br/>
        <w:t xml:space="preserve">1 Its main shareholders are: Axa Investment Managers SA (9.7%) and Ameriprise Financial Inc (5.5%), Standard Life Investments  </w:t>
        <w:br/>
        <w:t xml:space="preserve">Ltd (5%), Aberforth Partners LLP (4.9%), SVG Investment Managers Ltd (4.6%), Legal &amp; General Group PLC (3.6%) and Avica plc  </w:t>
        <w:br/>
        <w:t>(3.4%).</w:t>
      </w:r>
    </w:p>
    <w:p>
      <w:r>
        <w:t xml:space="preserve">3. The transaction, formalized by a purchase option dated November 27, 2014, involves  </w:t>
        <w:br/>
        <w:t xml:space="preserve">the acquisition by RPC, via RPC Pisces Holding Ltd., of the entire capital of Promens. As it results in  </w:t>
        <w:br/>
        <w:t xml:space="preserve">the exclusive control of Promens by RPC, the transaction constitutes a concentration within the meaning of  </w:t>
        <w:br/>
        <w:t xml:space="preserve">Article L. 430-1 of the Commercial Code.  </w:t>
        <w:br/>
        <w:t xml:space="preserve">4. The companies concerned have together achieved a consolidated worldwide turnover excluding taxes of  </w:t>
        <w:br/>
        <w:t xml:space="preserve">more than 150 million euros (RPC: 1.2 billion euros for the fiscal year ending March 31, 2014; Promens: […] euros for the fiscal year  </w:t>
        <w:br/>
        <w:t xml:space="preserve">ending December 31, 2013). Each of these companies has achieved, in France, a turnover exceeding 50 million  </w:t>
        <w:br/>
        <w:t xml:space="preserve">euros (RPC: […] euros for the fiscal year ending March 31, 2014; Promens: […] euros  </w:t>
        <w:br/>
        <w:t xml:space="preserve">for the fiscal year ending December 31, 2013). Given these turnover figures, the transaction  </w:t>
        <w:br/>
        <w:t xml:space="preserve">does not fall under the jurisdiction of the European Union. However, the control thresholds  </w:t>
        <w:br/>
        <w:t xml:space="preserve">mentioned in I of Article L. 430-2 of the Commercial Code are exceeded. This transaction is  </w:t>
        <w:br/>
        <w:t xml:space="preserve">therefore subject to the provisions of Articles L. 430-3 and following of the Commercial Code relating  </w:t>
        <w:br/>
        <w:t xml:space="preserve">to economic concentration.  </w:t>
        <w:br/>
        <w:t xml:space="preserve">II. Definition of the relevant markets  </w:t>
        <w:br/>
        <w:t xml:space="preserve">A. PRODUCT MARKET  </w:t>
        <w:br/>
        <w:t xml:space="preserve">5. The parties are both active in the packaging sector, and more specifically  </w:t>
        <w:br/>
        <w:t xml:space="preserve">in the sector of rigid plastic packaging.  </w:t>
        <w:br/>
        <w:t xml:space="preserve">6. The packaging sector has been examined several times by the national and  </w:t>
        <w:br/>
        <w:t xml:space="preserve">European authorities. The European decision-making practice makes distinctions based on the  </w:t>
        <w:br/>
        <w:t xml:space="preserve">packaging material used and/or the intended use of the packaging product. The  </w:t>
        <w:br/>
        <w:t xml:space="preserve">Commission has thus examined the market for thin-walled plastic packaging intended for dairy products.  </w:t>
        <w:br/>
        <w:t xml:space="preserve">In this market, it notably concluded on the substitutability of different plastics, both from the  </w:t>
        <w:br/>
        <w:t xml:space="preserve">demand and supply perspectives. However, it noted the high cost of substituting one  </w:t>
        <w:br/>
        <w:t xml:space="preserve">manufacturing technique for another, leaving the precise definition of the relevant market open.  </w:t>
        <w:br/>
        <w:t xml:space="preserve">7. In Decision No. 11-DCC-245, the Competition Authority segmented according to  </w:t>
        <w:br/>
        <w:t xml:space="preserve">the manufacturing process and the intended use of the products. A sub-segmentation based on  </w:t>
        <w:br/>
        <w:t xml:space="preserve">the product volume was also considered to the extent that the parties to the  </w:t>
        <w:br/>
        <w:t xml:space="preserve">transaction used the same manufacturing process and produced products of the same  </w:t>
        <w:br/>
        <w:t xml:space="preserve">shape. According to the notifying party, this sub-segmentation is not relevant because a  </w:t>
        <w:br/>
        <w:t xml:space="preserve">manufacturer can produce packaging of any size within a few weeks without having to make  </w:t>
        <w:br/>
        <w:t>significant investment.</w:t>
      </w:r>
    </w:p>
    <w:p>
      <w:r>
        <w:t xml:space="preserve">8. In this case, the parties produce rigid plastic packaging in France for  </w:t>
        <w:br/>
        <w:t xml:space="preserve">food and for personal care and cosmetics. The manufacturing process used  </w:t>
        <w:br/>
        <w:t xml:space="preserve">is blow molding. In Europe, they manufacture rigid plastic packaging intended for the  </w:t>
        <w:br/>
        <w:t xml:space="preserve">personal care and cosmetics, food, and chemical sectors. The manufacturing processes used  </w:t>
        <w:br/>
        <w:t xml:space="preserve">are blow molding, injection molding, and thermoforming.  </w:t>
        <w:br/>
        <w:t xml:space="preserve">9. The notifying party considers that the most relevant market segmentation is based on the  </w:t>
        <w:br/>
        <w:t xml:space="preserve">manufacturing process, as the same manufacturing process can be used to produce  </w:t>
        <w:br/>
        <w:t xml:space="preserve">products for different purposes.  </w:t>
        <w:br/>
        <w:t xml:space="preserve">10. In any event, it is not necessary to definitively decide on the exact delimitation  </w:t>
        <w:br/>
        <w:t xml:space="preserve">of the markets in question, as the conclusions of the competitive analysis remain unchanged regardless of the segmentation retained.  </w:t>
        <w:br/>
        <w:t xml:space="preserve">B. GEOGRAPHIC MARKET  </w:t>
        <w:br/>
        <w:t xml:space="preserve">11. The decision-making practice has left the question of the geographic delimitation of  </w:t>
        <w:br/>
        <w:t xml:space="preserve">the relevant markets open, with the competent authorities having analyzed the effects of  </w:t>
        <w:br/>
        <w:t xml:space="preserve">proposed transactions at the European or national level.  </w:t>
        <w:br/>
        <w:t xml:space="preserve">12. In this case, it is not necessary to decide on their exact delimitation, as the  </w:t>
        <w:br/>
        <w:t xml:space="preserve">conclusions of the competitive analysis remain unchanged.  </w:t>
        <w:br/>
        <w:t xml:space="preserve">III. Competitive analysis  </w:t>
        <w:br/>
        <w:t xml:space="preserve">13. At the European level, the new entity will have a market share of less than [5-10]%  </w:t>
        <w:br/>
        <w:t xml:space="preserve">in the rigid plastic packaging market, with the transaction resulting in an increment of less than [0-5]%. Regardless of the segmentation retained, the notifying party estimates the market share of the new entity after the transaction to be less than [5-10]%. The new entity  </w:t>
        <w:br/>
        <w:t xml:space="preserve">will therefore continue to face significant competition, its main European competitors being notably the Alpla Werke, Aptar Group, and Greiner groups.  </w:t>
        <w:br/>
        <w:t xml:space="preserve">14. At the national level, the cumulative market share of the parties will be less than [0-5]%  </w:t>
        <w:br/>
        <w:t xml:space="preserve">in the rigid plastic packaging market, with an increment of less than [0-5]%. This market share remains the same regardless of the segmentation retained. The parties will thus face numerous competitors, including notably the main players active at the European level.  </w:t>
        <w:br/>
        <w:t>15. Therefore, the proposed transaction is not likely to harm competition.</w:t>
      </w:r>
    </w:p>
    <w:p>
      <w:r>
        <w:rPr>
          <w:b/>
        </w:rPr>
        <w:t>[Pages 4–4]</w:t>
      </w:r>
    </w:p>
    <w:p>
      <w:r>
        <w:t xml:space="preserve">DECIDES  </w:t>
        <w:br/>
        <w:t xml:space="preserve">Single Article: The transaction notified under number 14-218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