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https://www.autoritedelaconcurrence.fr/fr/decision-de-controle-des-concentrations/relative-la-prise-de-controle-exclusif-de-la-societe-12</w:t>
      </w:r>
    </w:p>
    <w:p>
      <w:r>
        <w:t>Pages translated : 5</w:t>
      </w:r>
    </w:p>
    <w:p/>
    <w:p>
      <w:r>
        <w:rPr>
          <w:b/>
        </w:rPr>
        <w:t>[Pages 1–3]</w:t>
      </w:r>
    </w:p>
    <w:p>
      <w:r>
        <w:t xml:space="preserve">FRENCH REPUBLIC  </w:t>
        <w:br/>
        <w:t xml:space="preserve">Decision No. 10-DCC-166 of November 18, 2010  </w:t>
        <w:br/>
        <w:t>regarding the exclusive control of the company Delphis by the company ITM Alimentaire Nord</w:t>
      </w:r>
    </w:p>
    <w:p>
      <w:r>
        <w:t xml:space="preserve">The Competition Authority,  </w:t>
        <w:br/>
        <w:t xml:space="preserve">Having regard to the notification file submitted in full to the merger service on October 12, 2010, concerning the acquisition of all the shares of the company Delphis by the company ITM Alimentaire Nord, formalized by a transfer protocol dated August 5, 2010;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The company ITM Entreprises, 100% controlled by the Société civile des Mousquetaires, itself held by 1,330 natural persons known as "associated members," leads and animates the network of independent merchants known as the "Groupement des Mousquetaires." In its capacity as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  </w:t>
        <w:br/>
        <w:t xml:space="preserve">2. The company ITM Alimentaire Nord is a company under French law held by more than [&gt;50]% by the company ITM Alimentaire France, which is itself held by the company ITM Entreprises. The company ITM Entreprises has entrusted the company ITM Alimentaire Nord with the management and development of the franchisee network operating under the Intermarché, Ecomarché, and Netto brands in the Northern region of France.  </w:t>
        <w:br/>
        <w:t xml:space="preserve">3. The company Delphis is a holding company, owned by more than [&gt;50]% by Mr. and Mrs. X, signatories of the membership charter of the Mousquetaires group. It holds more than 99% of the shares of the company Alberdis, a simplified joint-stock company under French law that operates a food-dominant retail outlet under the Intermarché brand in Albert (80).  </w:t>
        <w:br/>
        <w:t xml:space="preserve">4. The notified operation, formalized by a transfer protocol dated August 5, 2010, consists of the acquisition by the company ITM Alimentaire Nord of the shares of the company Delphis held by Mr. and Mrs. X. The notifying party emphasizes that the present operation is temporary, and the acquired shares must be returned as soon as possible to a new operator.  </w:t>
        <w:br/>
        <w:t xml:space="preserve">5. Insofar as it results in the exclusive control of the company Alberdis by the ITM Entreprises group, via its subsidiary ITM Alimentaire Nord, the notified operation constitutes a concentration within the meaning of Article L. 430-1 of the Commercial Code.  </w:t>
        <w:br/>
        <w:t>6. The companies concerned operate one or more retail stores and together achieve a total worldwide turnover of more than 75 million euros (ITM Entreprises group: […] billion euros for the fiscal year ending December 31, 2009; company Delphis: […] million euros for the same fiscal year). Each achieves in France in the retail sector a turnover exceeding 15 million euros (ITM Entreprises group: […] million euros in 2009; company Delphis: the turnover mentioned above is entirely achieved in France).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7. According to the consistent practice of national and community competition authorities, two categories of markets can be delineated in the food retail sector. These are, on the one hand, "downstream" markets, of a local dimension, which bring together retail companies and consumers for the sale of consumer goods, and on the other hand, "upstream" markets for supplying retail companies with everyday consumer goods, of a national dimension.</w:t>
      </w:r>
    </w:p>
    <w:p>
      <w:r>
        <w:t xml:space="preserve">A. DOWNSTREAM MARKETS OF DISTRIBUTION  </w:t>
        <w:br/>
        <w:t xml:space="preserve">1. SERVICE MARKETS  </w:t>
        <w:br/>
        <w:t xml:space="preserve">8. Regarding the retail sale of everyday consumer goods, competition authorities, both community and national, have distinguished six categories of trade using several criteria, including store size, sales techniques, accessibility, the nature of the service provided, and the range of products offered:  </w:t>
        <w:br/>
        <w:t xml:space="preserve">(i) hypermarkets, (ii) supermarkets, (iii) specialized trade, (iv) small retail trade, (v) discount stores, (vi) mail order sales.  </w:t>
        <w:br/>
        <w:t xml:space="preserve">9. Supermarkets are usually defined as food-dominant stores with a legal sales area of less than 2,500 m².  </w:t>
        <w:br/>
        <w:t>10. In this case, the store involved in the operation currently occupies a sales area of 2,930 m², thus it falls into the category of hypermarkets.</w:t>
      </w:r>
    </w:p>
    <w:p>
      <w:r>
        <w:t xml:space="preserve">2. GEOGRAPHICAL DELIMITATION  </w:t>
        <w:br/>
        <w:t xml:space="preserve">11. In its recent decisions concerning operations involving hypermarkets or supermarkets, the Competition Authority has reiterated that depending on the size of the stores involved, the conditions of competition must be assessed in two different areas:  </w:t>
        <w:br/>
        <w:t xml:space="preserve">- a first market where the demand from consumers in an area meets the supply of hypermarkets to which they have access within less than 30 minutes of travel by car and which are, from their point of view, substitutable for each other;  </w:t>
        <w:br/>
        <w:t xml:space="preserve">- a second market where the demand from consumers meets the supply of supermarkets and equivalent forms of trade located within less than 15 minutes of travel time by car. These latter forms of trade may include, in addition to supermarkets, hypermarkets located near consumers and discount stores.  </w:t>
        <w:br/>
        <w:t xml:space="preserve">12. Other criteria may nevertheless be taken into account to assess the impact of a concentration on the competitive situation in retail distribution markets, which may lead to refining, in the specific case, the usual delimitations presented above.  </w:t>
        <w:br/>
        <w:t>13. In this case, the store involved falling into the category of hypermarkets, the competitive analysis will be conducted on the market including hypermarkets within a 30-minute radius around Albert as well as on the market including hypermarkets, supermarkets, and equivalent forms of trade located within a 15-minute radius around Albert.</w:t>
      </w:r>
    </w:p>
    <w:p>
      <w:r>
        <w:t xml:space="preserve">B. UPSTREAM SUPPLY MARKETS  </w:t>
        <w:br/>
        <w:t xml:space="preserve">14. Regarding supply markets, the European Commission has recognized the existence of national markets by major product groups, a delimitation followed by national authorities.  </w:t>
        <w:br/>
        <w:t xml:space="preserve">15. There is no need to challenge this delimitation in the context of the present operation.  </w:t>
        <w:br/>
        <w:t>1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w:t>
      </w:r>
    </w:p>
    <w:p>
      <w:r>
        <w:rPr>
          <w:b/>
        </w:rPr>
        <w:t>[Pages 4–5]</w:t>
      </w:r>
    </w:p>
    <w:p>
      <w:r>
        <w:t>III. Competitive Analysis</w:t>
      </w:r>
    </w:p>
    <w:p>
      <w:r>
        <w:t>A. DOWNSTREAM MARKET OF FOOD DISTRIBUTION</w:t>
      </w:r>
    </w:p>
    <w:p>
      <w:r>
        <w:t>16. In the market comprising hypermarkets, supermarkets, and equivalent retail formats located within a 15-minute drive catchment area around Albert, the Intermarché operated by the target represents 31.1% of the sales area. A retail outlet under the Netto brand represents 6.9% of the sales area. The combined market share of these two supermarkets thus represents 37.9% of the sales area in the catchment area.</w:t>
      </w:r>
    </w:p>
    <w:p>
      <w:r>
        <w:t>17. Furthermore, the hypermarket operated by the company Alberdis obtained authorization on November 22, 2007, to expand its retail space to 3,975 m². This expansion will increase the market share of the ITM Entreprises group's brands to 44.1%.</w:t>
      </w:r>
    </w:p>
    <w:p>
      <w:r>
        <w:t>18. These stores face competition from a Système U hypermarket holding 30.2% of the market share, from a retail outlet operated under the Shoppi brand holding 10.1% of the market share, and from three other retail outlets under the brands Simply Market, Lidl, and Aldi.</w:t>
      </w:r>
    </w:p>
    <w:p>
      <w:r>
        <w:t>19. In the market comprising hypermarkets located within a 30-minute drive catchment area around Albert, the Intermarché operated by the target represents 8.6% of the sales area. A hypermarket operated in Péronne under the Intermarché brand represents 14.1% of the sales area. The combined market share of these two hypermarkets thus represents 22.6% of the sales area in the catchment area. The expansion of the legal sales area of the target will bring this market share to 24.9%.</w:t>
      </w:r>
    </w:p>
    <w:p>
      <w:r>
        <w:t>20. These stores face competition from a hypermarket of the Casino group and a hypermarket of the Carrefour group, both holding 29.3% of the market share, as well as two other retail outlets under the brands Auchan and Super U.</w:t>
      </w:r>
    </w:p>
    <w:p>
      <w:r>
        <w:t>21. Consequently, the operation is not likely to harm competition in the markets concerned.</w:t>
      </w:r>
    </w:p>
    <w:p>
      <w:r>
        <w:t>B. UPSTREAM SUPPLY MARKET</w:t>
      </w:r>
    </w:p>
    <w:p>
      <w:r>
        <w:t>22. Regarding the upstream supply markets, the operation, which concerns only one store, is not likely to significantly strengthen the purchasing power of the ITM Entreprises group, across all products as well as by major product groups.</w:t>
      </w:r>
    </w:p>
    <w:p>
      <w:r>
        <w:t>23. Consequently, the operation is not likely to harm competition in either the downstream market or the upstream market of distribution.</w:t>
      </w:r>
    </w:p>
    <w:p>
      <w:r>
        <w:t>DECIDES</w:t>
      </w:r>
    </w:p>
    <w:p>
      <w:r>
        <w:t xml:space="preserve">Single Article: The notified operation under number 10-0174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