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https://www.autoritedelaconcurrence.fr/fr/decision-de-controle-des-concentrations/relative-la-prise-de-controle-exclusif-de-la-societe-122</w:t>
      </w:r>
    </w:p>
    <w:p>
      <w:r>
        <w:t>Pages translated : 6</w:t>
      </w:r>
    </w:p>
    <w:p/>
    <w:p>
      <w:r>
        <w:rPr>
          <w:b/>
        </w:rPr>
        <w:t>[Pages 1–3]</w:t>
      </w:r>
    </w:p>
    <w:p>
      <w:r>
        <w:t xml:space="preserve">FRENCH REPUBLIC  </w:t>
        <w:br/>
        <w:t xml:space="preserve">Decision No. 15-DCC-148 of November 12, 2015  </w:t>
        <w:br/>
        <w:t xml:space="preserve">regarding the exclusive control of the company Financière Syclef  </w:t>
        <w:br/>
        <w:t>by the company Latour Capital</w:t>
      </w:r>
    </w:p>
    <w:p>
      <w:r>
        <w:t xml:space="preserve">The Competition Authority,  </w:t>
        <w:br/>
        <w:t xml:space="preserve">Having regard to the notification file submitted in full to the merger service on October 14, 2015, regarding the exclusive control of the company Financière Syclef by the company Latour Capital, formalized by a transfer protocol dated September 25,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Latour Capital II is a mutual fund owned by the investment company Latour Capital. Latour Capital Management, the management company of Latour Capital, is held [confidential] by the companies Constance Capital, Philippe Leoni Consulting, and Amecofin Conseil, with no shareholder exercising a decisive influence over the company. Latour Capital controls several entities, including the company Proxiserve, active in the market for installation and maintenance services for real estate assets in the fields of water, heating, air, and renewable energies.  </w:t>
        <w:br/>
        <w:t xml:space="preserve">2. The company Synergie Climatisation et Froid (hereinafter "Syclef") designs, installs, and maintains refrigeration equipment for end users. Syclef is composed of thirteen companies active in the installation and maintenance of refrigeration and air conditioning equipment. The Syclef group is currently owned by its managers ([…] % of the capital), its founders ([… %), and by Edmond de Rothschild Investment Partners ([…] %).  </w:t>
        <w:br/>
        <w:t xml:space="preserve">3. Under the transfer protocol dated September 25, 2015, a newly created company for the needs of the operation (hereinafter "Newco") will acquire 100% of the capital and voting rights of the company Syclef. This newly created company will itself be owned by Latour Capital II at more than […] % and by the founders and managers of Syclef for the remainder of the capital. According to the shareholders' agreement, Newco will be governed by a supervisory board composed of five members, three of whom will be appointed on the proposal of Latour Capital. It will make its decisions by a simple majority and will appoint the chairman, the general managers, as well as the members of the company's management board. Strategic decisions, such as the approval of the annual budget, will be subject to its prior agreement. The minority shareholders do not hold rights exceeding those usually granted for the protection of their financial interests, and given the composition and decision-making rules within the supervisory board, Latour Capital will hold exclusive control over Newco and thus over Syclef.  </w:t>
        <w:br/>
        <w:t xml:space="preserve">4. Insofar as it results in the exclusive control of the company Syclef by the company Latour Capital, the notified operation constitutes a concentration within the meaning of Article L. 430-1 of the Commercial Code.  </w:t>
        <w:br/>
        <w:t>5. The concerned companies have achieved a consolidated turnover excluding taxes worldwide of more than 150 million euros (Latour Capital: […] euros for the fiscal year ending December 31, 2014; Syclef: […] euros for the same fiscal year). Each of these companies has achieved, in France, a turnover exceeding 50 million euros (Latour Capital: […] euros for the same fiscal year; Syclef: […] euros for the same fiscal year). Given the turnover of the concerned companies, the operation does not fall under the jurisdiction of the European Union. However, the control thresholds mentioned in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Latour Capital, through the company Proxiserve, and Syclef are simultaneously active in the climate engineering sector. Proxiserve is also active upstream in multi-service management and maintenance, including energy optimization services, which presents a vertical link with climate engineering.  </w:t>
        <w:br/>
        <w:t xml:space="preserve">A. THE CLIMATE ENGINEERING SECTOR  </w:t>
        <w:br/>
        <w:t xml:space="preserve">1. PRODUCT MARKET  </w:t>
        <w:br/>
        <w:t xml:space="preserve">7. The climate engineering sector includes installation, maintenance, and repair work of heating, ventilation, and air conditioning equipment, as well as related piping, ductwork, and sheet metal work. These works are carried out within the framework of maintenance-renovation works of non-residential buildings and housing, mainly on behalf of private companies, property management companies, and individuals.  </w:t>
        <w:br/>
        <w:t xml:space="preserve">8. The decisional practice has ruled several times on concentration operations in the climate engineering works sector. It has considered that this type of work could be distinguished from electrical engineering works or mechanical engineering works. It has also considered that within the market for climate engineering works, a distinction could be made based on the type of work and the type of clientele.  </w:t>
        <w:br/>
        <w:t xml:space="preserve">9. Regarding the type of work, the decisional practice has noted that installation works and management and maintenance works are generally not subject to the same contracts and are generally not provided by the same service providers. Installation works include the initial installation, modernization of the equipment as well as all works exceeding routine maintenance and repair, and maintenance works include organizing periodic inspection visits under annual or multi-year contracts. It concluded that these two types of work could be differentiated. In this case, the parties are simultaneously active in these two market segments.  </w:t>
        <w:br/>
        <w:t xml:space="preserve">10. Regarding the type of clientele, the decisional practice has considered a distinction between residential clientele (single-family homes and apartment buildings) and non-residential clientele (premises in the industrial and tertiary sectors). It has also considered a possible sub-segmentation, without resolving the issue, within the non-residential clientele between the industrial sector, the tertiary sector, and infrastructure. In this case, Latour Capital, through Proxiserve, offers its services to residential clientele while Syclef's clientele is non-residential.  </w:t>
        <w:br/>
        <w:t xml:space="preserve">11. The notifying party also considers the existence of a market for the installation and maintenance of refrigeration equipment, distinct from the climate engineering market, on the grounds that (i) there is specific regulation regarding refrigeration equipment, (ii) the negotiation of contracts does not follow the same decision-making process at the client level, (iii) refrigeration technicians generally provide both installation and maintenance of refrigeration equipment while clients wishing for climate engineering installation often choose different operators for installation on one hand, and maintenance on the other. In this case, only Syclef is active in this potential market.  </w:t>
        <w:br/>
        <w:t xml:space="preserve">12. In any case, it is not necessary in this case to resolve the issue of the exact delimitation of the markets, as the conclusions of the competitive analysis will remain unchanged regardless of the delimitation adopted.  </w:t>
        <w:br/>
        <w:t xml:space="preserve">2. GEOGRAPHICAL MARKET  </w:t>
        <w:br/>
        <w:t>13. The decisional practice has not resolved the exact geographical delimitation of the climate engineering works markets but has generally examined the effects of controlled operations at the national and regional levels. It has indeed noted that the main players in these markets were established at the national level, but that a significant number of players were of regional size.</w:t>
      </w:r>
    </w:p>
    <w:p>
      <w:r>
        <w:rPr>
          <w:b/>
        </w:rPr>
        <w:t>[Pages 4–6]</w:t>
      </w:r>
    </w:p>
    <w:p>
      <w:r>
        <w:t>14. In the present case, the precise delineation of the market can also be left open, insofar as, regardless of the definition adopted, the conclusions of the competitive analysis will remain unchanged.</w:t>
      </w:r>
    </w:p>
    <w:p>
      <w:r>
        <w:t>B. MARKET FOR MULTI-TECHNICAL MANAGEMENT AND MAINTENANCE INCLUDING ENERGY OPTIMIZATION SERVICES</w:t>
      </w:r>
    </w:p>
    <w:p>
      <w:r>
        <w:t>15. The European Commission4 has defined the market for energy management services as including activities such as advising on reducing energy consumption, implementing energy management systems, assisting in the supply of energy, and in the management and maintenance of equipment related to clients' energy consumption, with the aim of reducing clients' energy consumption.</w:t>
      </w:r>
    </w:p>
    <w:p>
      <w:r>
        <w:t>16. The Commission5 has also defined the market for multi-technical management and maintenance as encompassing "the activities of maintenance and optimization of the performance of all technical installations present at clients who operate buildings and wish to delegate their management. The entirety of technical installations includes (depending on the building) boilers and climate systems, mechanical installations (piping, boiler-making, machining), electrical networks, and everything related to industrial process tools." It considers that it is not necessary to distinguish energy optimization services from other multi-technical management/maintenance services, and that it is not relevant to make other distinctions (by type of client, buildings, or services)6.</w:t>
      </w:r>
    </w:p>
    <w:p>
      <w:r>
        <w:t>17. The Commission has considered that this market has a national delineation.</w:t>
      </w:r>
    </w:p>
    <w:p>
      <w:r>
        <w:t>18. There is no reason to challenge these delineations in the context of the present operation. In this case, only Latour Capital, through Proxiserve, is active in this market, which will however be examined in terms of the vertical effects of the operation as it is upstream of the climate engineering markets.</w:t>
      </w:r>
    </w:p>
    <w:p>
      <w:r>
        <w:t>III. Competitive Analysis</w:t>
      </w:r>
    </w:p>
    <w:p>
      <w:r>
        <w:t>19. The parties are simultaneously active in the climate engineering market. Furthermore, Proxiserve is active in the upstream market for multi-service management and maintenance, including energy optimization services, which has a vertical link with the downstream climate engineering market.</w:t>
      </w:r>
    </w:p>
    <w:p>
      <w:r>
        <w:t>A. ANALYSIS OF HORIZONTAL EFFECTS</w:t>
      </w:r>
    </w:p>
    <w:p>
      <w:r>
        <w:t>20. In a global climate engineering market, the notifying party estimates that the combined market share of the parties will be less than [0-5]% at the national level. At the local level, the parties are simultaneously present in the Rhône-Alpes, Provence-Alpes-Côte d’Azur, Languedoc-Roussillon, Aquitaine, Pays de la Loire, and Brittany regions. The notifying party estimates that in all of these regions, the combined market share of the parties will remain below 10%. In each of the segments of this market considered by the decisional practice and for which the operation entails an overlap, the notifying party estimates that the combined market share of the parties will remain below 10% at both the national and local levels.</w:t>
      </w:r>
    </w:p>
    <w:p>
      <w:r>
        <w:t>21. In a potential climate engineering market excluding refrigeration activities, the notifying party estimates that the market share of the new entity will be [5-10]% at the national level. At the regional level, the notifying party estimates that the market share of the new entity will remain below 10%. Furthermore, the new entity will face competition from numerous operators such as Axima, Eiffage, Hervé Thermique, Spie, MCI, Anvolia, Climaticiens de France, SESAR, Missenard Quint, and Cesbron/Dalkia.</w:t>
      </w:r>
    </w:p>
    <w:p>
      <w:r>
        <w:t>22. In a potential market for the installation and maintenance of refrigeration equipment, Syclef would have a market share of less than [0-5]%.</w:t>
      </w:r>
    </w:p>
    <w:p>
      <w:r>
        <w:t>23. Consequently, the present operation is not likely to harm competition through horizontal effects in the climate engineering market.</w:t>
      </w:r>
    </w:p>
    <w:p>
      <w:r>
        <w:t>B. ANALYSIS OF VERTICAL EFFECTS</w:t>
      </w:r>
    </w:p>
    <w:p>
      <w:r>
        <w:t>24. A vertical concentration can restrict competition by making access to the markets in which the new entity will be active more difficult, or potentially by excluding competitors or penalizing them through an increase in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decisional practice generally considers that a risk of vertical effect can be ruled out as long as the market share of the company resulting from the operation in the relevant markets does not exceed 30%.</w:t>
      </w:r>
    </w:p>
    <w:p>
      <w:r>
        <w:t>25. In this case, the notifying party estimates that it represents less than 10% of the upstream market for multi-technical management and maintenance. Similarly, downstream, the market share of the combined entity will remain below 10% as indicated in the previous developments.</w:t>
      </w:r>
    </w:p>
    <w:p>
      <w:r>
        <w:t>26. Consequently, the operation is not likely to harm competition through vertical effects.</w:t>
      </w:r>
    </w:p>
    <w:p>
      <w:r>
        <w:t>DECIDES</w:t>
      </w:r>
    </w:p>
    <w:p>
      <w:r>
        <w:t>Article unique: The operation notified under number 15-170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