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https://www.autoritedelaconcurrence.fr/fr/decision-de-controle-des-concentrations/relative-la-prise-de-controle-exclusif-de-la-societe-123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15-DCC-152 of November 19, 2015  </w:t>
        <w:br/>
        <w:t xml:space="preserve">regarding the exclusive control acquisition of the company Neuilly La Pointe  </w:t>
        <w:br/>
        <w:t xml:space="preserve">by the company Système U Centrale Régionale Nord-Ouest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16, 2015, concerning the exclusive control acquisition by Système U Centrale Régionale  </w:t>
        <w:br/>
        <w:t xml:space="preserve">Nord-Ouest of the company Neuilly La Pointe, materialized by a synallagmatic promise  </w:t>
        <w:br/>
        <w:t xml:space="preserve">of sale dated September 7,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Neuilly La Pointe,  </w:t>
        <w:br/>
        <w:t xml:space="preserve">operating a retail outlet predominantly selling food under the Super U brand in Neuilly-sur-  </w:t>
        <w:br/>
        <w:t xml:space="preserve">Marne (93), by the company Système U Centrale Régionale Nord-Ouest. This operation  </w:t>
        <w:br/>
        <w:t xml:space="preserve">constitutes a concentration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competence of the European Union. On the other hand, the control thresholds related to retail  </w:t>
        <w:br/>
        <w:t xml:space="preserve">trade mentioned in point II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15-155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