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https://www.autoritedelaconcurrence.fr/fr/decision-de-controle-des-concentrations/relative-la-prise-de-controle-exclusif-de-la-societe-125</w:t>
      </w:r>
    </w:p>
    <w:p>
      <w:r>
        <w:t>Pages translated : 6</w:t>
      </w:r>
    </w:p>
    <w:p/>
    <w:p>
      <w:r>
        <w:rPr>
          <w:b/>
        </w:rPr>
        <w:t>[Pages 1–3]</w:t>
      </w:r>
    </w:p>
    <w:p>
      <w:r>
        <w:t xml:space="preserve">FRENCH REPUBLIC  </w:t>
        <w:br/>
        <w:t xml:space="preserve">Decision No. 15-DCC-178 of December 21, 2015  </w:t>
        <w:br/>
        <w:t>regarding the exclusive control of Management Consulting Group France by Solucom</w:t>
      </w:r>
    </w:p>
    <w:p>
      <w:r>
        <w:t xml:space="preserve">The Competition Authority,  </w:t>
        <w:br/>
        <w:t xml:space="preserve">Having regard to the notification file submitted in full to the merger service on November 23, 2015, regarding the exclusive control by Solucom of Management Consulting Group France, formalized by a draft acquisition contract dated November 25, 2015;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Adopts the following decision:</w:t>
      </w:r>
    </w:p>
    <w:p>
      <w:r>
        <w:t xml:space="preserve">I. The concerned companies and the operation  </w:t>
        <w:br/>
        <w:t xml:space="preserve">1. Solucom is a public limited company under French law, active in management consulting and information systems in France and internationally, particularly in Morocco, the United Kingdom, and Switzerland. Its activity is organized around six poles: business transformation banking and insurance; business transformation energy, transport, and telecommunications, operational excellence; risk management and information security; digital innovation; and information systems architecture. The capital of Solucom is held by its executives, Pascal Imbert (29.14%) and Michel Dancoisne (22.86%), who act in concert and jointly control it, no other shareholder holding more than 5% of the share capital.  </w:t>
        <w:br/>
        <w:t xml:space="preserve">2. Management Consulting Group France SAS (hereinafter "MCG France") is a simplified joint-stock company under French law owned by the British group Management Consulting Group PLC. It is the holding company of Kurt Salmon Associés France SA, which is itself the holding company of Kurt Salmon France SAS, active in the fields of management consulting and IT consulting in France, Italy, Belgium, Morocco, and Luxembourg. The Management Consulting Group PLC also owns the companies Kurt Salmon Switzerland Sàrl, a Swiss law company active in the consulting sector in the banking field in Switzerland, and Kurt Salmon US Inc., a company under American law.  </w:t>
        <w:br/>
        <w:t xml:space="preserve">3. The operation consists of the acquisition by Solucom of: (i) 100% of the shares and voting rights of MCG France and its subsidiaries; (ii) 100% of the shares and voting rights of Kurt Salmon Switzerland Sàrl, which will be transferred to MCG France before the completion of the operation; and (iii) the Financial Services and CIO Advisory activities of Kurt Salmon US Inc., consolidated within a new company, indirectly owned by MCG France, before the completion of the operation (together, "MCG France"). As it results in the exclusive control of MCG France by Solucom, the notified operation constitutes a concentration within the meaning of Article L. 430-1 of the Commercial Code.  </w:t>
        <w:br/>
        <w:t>4. The concerned companies together achieve a total worldwide turnover excluding tax of more than 150 million euros (Solucom: 163.1 million euros for the fiscal year ending March 31, 2015; MCG France: 120.3 million euros for the fiscal year ending December 31, 2014). Each of these companies has achieved a turnover in France exceeding 50 million euros (Solucom: […] euros for the same fiscal year; MCG France: […] euros for the same fiscal year). Given these turnover figures,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r>
    </w:p>
    <w:p>
      <w:r>
        <w:t xml:space="preserve">II. Delimitation of the relevant markets  </w:t>
        <w:br/>
        <w:t>5. The parties are simultaneously active in the business consulting sector, and more particularly in the management consulting sector (A) and the information technology consulting sector (B).</w:t>
      </w:r>
    </w:p>
    <w:p>
      <w:r>
        <w:t xml:space="preserve">A. PRODUCT MARKETS  </w:t>
        <w:br/>
        <w:t xml:space="preserve">1. THE MARKET FOR MANAGEMENT AND ORGANIZATION CONSULTING  </w:t>
        <w:br/>
        <w:t xml:space="preserve">6. Decision-making practice has considered that the activities of audit and accounting firms cover six distinct markets: (i) the market for management consulting services, (ii) the market for financial consulting and assistance services for businesses, (iii) the market for tax consulting and assistance services, (iv) the market for consulting services for distressed businesses, (v) the market for audit and accounting services for small and medium-sized enterprises, and (vi) the market for audit and accounting services for large enterprises and listed companies.  </w:t>
        <w:br/>
        <w:t>1 See the decisions of the European Commission No. COMP/M.1016 of May 20, 1998, Price Waterhouse/Coopers&amp;Lybrand; No. COMP/M.2816 of September 5, 2002, Ernst &amp; Young/Andersen France; No. COMP/M.5597 of December 9, 2009, Towers Perrin/Watson Wyatt; the letter from the Minister of Economy C2006-91 of December 15, 2006, to the board of the company Deloitte, regarding a concentration in the sectors of audit, accounting, and consulting; the decision of the Competition Authority No. 13-DCC-126 of September 5, 2013, regarding the acquisition of Sofaxis by the mutual insurance company Sham.</w:t>
      </w:r>
    </w:p>
    <w:p>
      <w:r>
        <w:t xml:space="preserve">7. The Commission considered segmenting the management consulting market according to the services offered, distinguishing between investment management consulting, human resources consulting services, and insurance consulting, limited to the financial services offered in this sector, without, however, deciding on the exact delineation of the relevant market.  </w:t>
        <w:br/>
        <w:t xml:space="preserve">8. In this case, the parties are simultaneously present in the management consulting market, with only the target being present in the human resources consulting segment. However, they are not present in the insurance consulting segment as they do not provide advice related to the specific financial aspects of this sector. They consider the relevant market to be the overall market for management and organization consulting, without the need to further sub-segment this market.  </w:t>
        <w:br/>
        <w:t>9. In any case, the conclusions of the competitive analysis remain unchanged regardless of the delineation adopted, and it is not necessary to resolve this issue in the context of the present operation.</w:t>
      </w:r>
    </w:p>
    <w:p>
      <w:r>
        <w:t xml:space="preserve">2. THE MARKET FOR INFORMATION TECHNOLOGY CONSULTING  </w:t>
        <w:br/>
        <w:t xml:space="preserve">10. The Commission and the Authority have considered that there are seven segmentations within the IT services market: (i) global management services also referred to as "outsourcing" or "system management services," (ii) business management services also referred to as "process management" or "business process outsourcing (BPO)," (iii) software development and integration, (iv) consulting, (v) software maintenance and logistical support, (vi) hardware maintenance and logistical support, and (vii) teaching and training.  </w:t>
        <w:br/>
        <w:t xml:space="preserve">11. Different alternative or complementary segmentations have also been considered according to:  </w:t>
        <w:br/>
        <w:t xml:space="preserve">- the type of clientele, SMEs/SMIs or large accounts;  </w:t>
        <w:br/>
        <w:t xml:space="preserve">- the types of information and communication systems: (i) management application systems, which include IT services used to fulfill a horizontal function within businesses or administrations; (ii) embedded industrial technical scientific application systems; (iii) generic application systems; (iv) IT infrastructure systems; and (v) communication infrastructure and enterprise network systems;  </w:t>
        <w:br/>
        <w:t xml:space="preserve">- the sector of activity, namely; (i) communications; (ii) education; (iii) energy and local networks; (iv) financial services; (v) the public sector; (vi) health; (vii) industry; (viii) commerce and distribution; (ix) services; and (x) transport.  </w:t>
        <w:br/>
        <w:t xml:space="preserve">12. In this case, the notifying party believes that the parties, present only in the IT consulting segment to the exclusion of all other categories of IT services, should not be considered as active in the IT services market but rather in the consulting market that includes IT consulting.  </w:t>
        <w:br/>
        <w:t xml:space="preserve">2 Decisions of the Commission No. COMP/M.5597 cited above and No. COMP/M.5951 Aon Corporation/Hewitt Associates of September 28, 2010.  </w:t>
        <w:br/>
        <w:t xml:space="preserve">3 Decision No. COMP/M.5009 Randstad/Vedior of April 17, 2008.  </w:t>
        <w:br/>
        <w:t xml:space="preserve">4 Decision No. COMP/M.5597 cited above.  </w:t>
        <w:br/>
        <w:t xml:space="preserve">5 Decision No. COMP/M.1901 cited above.  </w:t>
        <w:br/>
        <w:t>6 Decision of the Authority No. 11-DCC-120 of July 26, 2011, regarding the exclusive control of Camélia Participations SAS by Capgemini France SAS.</w:t>
      </w:r>
    </w:p>
    <w:p>
      <w:r>
        <w:rPr>
          <w:b/>
        </w:rPr>
        <w:t>[Pages 4–6]</w:t>
      </w:r>
    </w:p>
    <w:p>
      <w:r>
        <w:t xml:space="preserve">13. Furthermore, the activities of the parties only overlap in services provided to large accounts, as Solucom is not active in the segment of IT services for SMEs/SMIs.  </w:t>
        <w:br/>
        <w:t xml:space="preserve">14. It does not appear relevant to challenge the boundaries previously established on the occasion of the present operation, as the conclusions of the competitive analysis remain unchanged in all scenarios.  </w:t>
        <w:br/>
        <w:t xml:space="preserve">B. GEOGRAPHIC MARKETS  </w:t>
        <w:br/>
        <w:t xml:space="preserve">1. THE MARKET FOR MANAGEMENT AND ORGANIZATION CONSULTING  </w:t>
        <w:br/>
        <w:t xml:space="preserve">15. Regarding the market for management consulting, decision-making practice has considered, without resolving the issue, a market of national or international dimension, notably considering that "the only factor limiting the ability to operate in this type of market was the necessity to possess the skills and resources that clients need; for some, these needs are only felt at the national or local level and for others (multinationals), in several countries."  </w:t>
        <w:br/>
        <w:t xml:space="preserve">16. In this case, the parties argue that the market is of national dimension, as the activities concerned require knowledge of local market practices and conditions as well as proximity to the client and due to the importance of the reputation of the "brand" of the service provider in the country where these services are offered. They further emphasize that the parties are distributed in each country in the form of national entities active locally.  </w:t>
        <w:br/>
        <w:t xml:space="preserve">17. It is not necessary to resolve the issue of the exact delineation of the geographic market in this case, as the conclusions of the competitive analysis remain unchanged.  </w:t>
        <w:br/>
        <w:t xml:space="preserve">2. THE MARKET FOR INFORMATION TECHNOLOGY CONSULTING  </w:t>
        <w:br/>
        <w:t xml:space="preserve">18. According to the Authority's practice, the market for IT services is of national dimension "notably due to the necessity for providers of these services to communicate regularly in the language of their clients and to maintain a close relationship with them," despite a certain internationalization of supply and demand.  </w:t>
        <w:br/>
        <w:t xml:space="preserve">19. In this case, the competitive analysis will be conducted at the national level.  </w:t>
        <w:br/>
        <w:t xml:space="preserve">20. The parties are simultaneously present in two markets: management and organization consulting (A) and IT services consulting (B).  </w:t>
        <w:br/>
        <w:t xml:space="preserve">A. MANAGEMENT AND ORGANIZATION CONSULTING  </w:t>
        <w:br/>
        <w:t xml:space="preserve">21. In the overall market for management and organization consulting, the notifying party estimates that its market share following the transaction would be [5-10]% (Solucom: [0-5]%; MCG France: [0-5]%) at the national level. The new entity would face competition from a large number of operators in a fragmented market, such as BCG (6.3%), Capgemini (6.3%), McKinsey (4.8%), or PWC (4.4%). The notifying party estimates that its position following the transaction would be negligible at the global level.  </w:t>
        <w:br/>
        <w:t xml:space="preserve">22. In the human resources consulting segment, only MCG France will be present following the transaction, with a market share of approximately [0-5]% at the national level and less than [0-5]% at the global level.  </w:t>
        <w:br/>
        <w:t xml:space="preserve">23. Therefore, the present transaction is not likely to harm competition in the markets for management and organization consulting.  </w:t>
        <w:br/>
        <w:t xml:space="preserve">B. IT SERVICES CONSULTING  </w:t>
        <w:br/>
        <w:t xml:space="preserve">24. In the national market for IT services, the notifying party estimates its position at less than [0-5]% (Solucom [0-5]%; MCG France [0-5]%).  </w:t>
        <w:br/>
        <w:t xml:space="preserve">25. In the IT services consulting segment, the combined market share of the parties following the transaction would be [0-5]% (Solucom: [0-5]%; MCG France: [0-5]%) and many operators will remain present in the market, such as Capgemini (6.9%), Accenture (6.4%), IBM (5.6%), or CGI (5%).  </w:t>
        <w:br/>
        <w:t xml:space="preserve">26. In the segment of IT services provided to large accounts, the notifying party estimates its position at less than [0-5]%.  </w:t>
        <w:br/>
        <w:t xml:space="preserve">27. The notifying party has not been able to provide an estimate of its position in the IT services market by segmenting by types of information systems, indicating that it provides cross-cutting services. In any case, it estimates that its market share does not exceed [0-5]% in any of the possible segments.  </w:t>
        <w:br/>
        <w:t xml:space="preserve">28. Finally, in a potential segment of IT services by industry sector, the notifying party indicates that its market share following the transaction would be less than [0-5]% regardless of the market considered (communications, education, health, transportation, etc.).  </w:t>
        <w:br/>
        <w:t>29. Therefore, the present transaction is not likely to harm competition in the markets for IT services consulting.</w:t>
      </w:r>
    </w:p>
    <w:p>
      <w:r>
        <w:t xml:space="preserve">DECIDES  </w:t>
        <w:br/>
        <w:t xml:space="preserve">Sole Article: The transaction notified under number 15-183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