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https://www.autoritedelaconcurrence.fr/fr/decision-de-controle-des-concentrations/relative-la-prise-de-controle-exclusif-de-la-societe-128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15-DCC-30 of April 2, 2015  </w:t>
        <w:br/>
        <w:t xml:space="preserve">regarding the exclusive control acquisition of the company Lamberet  </w:t>
        <w:br/>
        <w:t xml:space="preserve">by the company Aviation Industry Corporation of China  </w:t>
        <w:br/>
        <w:t>The Competition Authority,</w:t>
      </w:r>
    </w:p>
    <w:p>
      <w:r>
        <w:t xml:space="preserve">Having regard to the complete notification file submitted to the mergers department on March 11, 2015,  </w:t>
        <w:br/>
        <w:t xml:space="preserve">concerning the exclusive control acquisition of the company Lamberet by the company Aviation  </w:t>
        <w:br/>
        <w:t>Industry Corporation of China, materialized by a share transfer agreement dated January 8, 2015;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the company Lamberet, active  </w:t>
        <w:br/>
        <w:t xml:space="preserve">in the manufacturing and sale of temperature-controlled boxes for all types of industrial vehicles,  </w:t>
        <w:br/>
        <w:t xml:space="preserve">by the company Aviation Industry Corporation of China, via its subsidiary Henan Xinfei  </w:t>
        <w:br/>
        <w:t xml:space="preserve">Electric Group, active in the manufacturing and marketing of special-purpose vehicles. This operation constitutes a concentration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related to concentration operations mentioned in point 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15-022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