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https://www.autoritedelaconcurrence.fr/fr/decision-de-controle-des-concentrations/relative-la-prise-de-controle-exclusif-de-la-societe-129</w:t>
      </w:r>
    </w:p>
    <w:p>
      <w:r>
        <w:t>Pages translated : 2</w:t>
      </w:r>
    </w:p>
    <w:p/>
    <w:p>
      <w:r>
        <w:rPr>
          <w:b/>
        </w:rPr>
        <w:t>[Pages 1–2]</w:t>
      </w:r>
    </w:p>
    <w:p>
      <w:r>
        <w:t xml:space="preserve">FRENCH REPUBLIC  </w:t>
        <w:br/>
        <w:t xml:space="preserve">Decision No. 15-DCC-32 of March 23, 2013  </w:t>
        <w:br/>
        <w:t>regarding the exclusive control acquisition of the company International Motors by the PGA Motors group</w:t>
      </w:r>
    </w:p>
    <w:p>
      <w:r>
        <w:t>The Competition Authority,</w:t>
      </w:r>
    </w:p>
    <w:p>
      <w:r>
        <w:t>Having regard to the complete notification file sent to the mergers department on February 24, 2015, concerning the exclusive control acquisition of the company International Motors by the company PGA Motors, through its subsidiary, the company Wolfsburg Motors, and formalized by a transfer protocol dated January 21, 2015;</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International Motors, operating two Porsche brand car dealerships in the cities of Saint-Priest (69) and Champagne au Mont d’Or (69), by the company PGA Motors, which operates car dealerships in France and is indirectly controlled by Porsche Holding, which is itself indirectly controlled by Volkswagen AG. This operation constitutes a concentration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15-025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