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https://www.autoritedelaconcurrence.fr/fr/decision-de-controle-des-concentrations/relative-la-prise-de-controle-exclusif-de-la-societe-13</w:t>
      </w:r>
    </w:p>
    <w:p>
      <w:r>
        <w:t>Pages translated : 5</w:t>
      </w:r>
    </w:p>
    <w:p/>
    <w:p>
      <w:r>
        <w:rPr>
          <w:b/>
        </w:rPr>
        <w:t>[Pages 1–3]</w:t>
      </w:r>
    </w:p>
    <w:p>
      <w:r>
        <w:t>FRENCH REPUBLIC</w:t>
        <w:br/>
        <w:t>Decision No. 10-DCC-176 of December 14, 2010</w:t>
        <w:br/>
        <w:t>regarding the exclusive control of the company Sopodis</w:t>
        <w:br/>
        <w:t>by the company ITM Alimentaire Centre Ouest</w:t>
        <w:br/>
        <w:t>The Competition Authority,</w:t>
        <w:br/>
        <w:t>Having regard to the notification file submitted in full to the concentrations service on</w:t>
        <w:br/>
        <w:t>November 10, 2010, concerning the acquisition of shares of the company Sopodis by the company ITM</w:t>
        <w:br/>
        <w:t>Alimentaire Centre Ouest, formalized by a transfer protocol dated</w:t>
        <w:br/>
        <w:t>November 3, 2010;</w:t>
        <w:br/>
        <w:t>Having regard to Book IV of the Commercial Code relating to the freedom of prices and competition, and</w:t>
        <w:br/>
        <w:t>notably its Articles L. 430-1 to L. 430-7;</w:t>
        <w:br/>
        <w:t>Adopts the following decision:</w:t>
        <w:br/>
        <w:t>I. The companies concerned and the operation</w:t>
        <w:br/>
        <w:t>1. The company ITM Entreprises, 100% controlled by the Société civile des Mousquetaires, itself held by 1,330 natural persons known as "associated members," leads and animates the network of independent merchants known as the "Groupement des Mousquetaires." In its capacity as franchisor, the company ITM Entreprises has as its main activity the animation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w:t>
      </w:r>
    </w:p>
    <w:p>
      <w:r>
        <w:t>2. The company ITM Alimentaire Centre Ouest is a French law company owned at [&gt;50]% by the company ITM Alimentaire France, which is itself owned by the company ITM Entreprises. The company ITM Entreprises has entrusted the company ITM Alimentaire Centre Ouest with the animation and development of the network of franchisees operating under the brands Intermarché, Ecomarché, and Netto in the central-west region of France.</w:t>
      </w:r>
    </w:p>
    <w:p>
      <w:r>
        <w:t>3. The public limited company Sopodis, owned more than [&gt;50]% by spouses X, signatories of the charter of adhesion of the Mousquetaires group, operates two food-dominant retail outlets under the Intermarché and Netto brands in Saint Hilaire de Loulay (85). The company ITM Entreprises holds one share in the capital of Sopodis, which does not confer any particular rights.</w:t>
      </w:r>
    </w:p>
    <w:p>
      <w:r>
        <w:t>4. The notified operation, formalized by a transfer protocol dated November 3, 2010, consists of the acquisition by ITM Alimentaire Centre Ouest of the shares of Sopodis held by spouses X. The notifying party emphasizes that the present operation is temporary, and the acquired shares must be transferred back as soon as possible to a new operator.</w:t>
      </w:r>
    </w:p>
    <w:p>
      <w:r>
        <w:t>5. In that it results in the acquisition of control of the company Sopodis by the ITM Entreprises group, via its subsidiary ITM Alimentaire Centre Ouest, the notified operation is a concentration within the meaning of Article L. 430-1 of the Commercial Code. The companies concerned operate several retail stores and together achieve a total worldwide turnover of more than 75 million euros (ITM Entreprises: […] billion euros for the fiscal year ending December 31, 2009; Sopodis: […] million euros for the same fiscal year). The companies concerned achieve in France in the retail sector a turnover exceeding 15 million euros (ITM Entreprises: […] billion euros; Sopodis: […] million euros for the same fiscal year). Given these turnover figures, the operation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II. Delimitation of relevant markets</w:t>
        <w:br/>
        <w:t>6. According to the consistent practice of national and community competition authorities, two categories of markets can be delineated in the food distribution sector. These are, on the one hand, "downstream" markets, of a local dimension, which bring together retail companies and consumers for the sale of consumer goods, and, on the other hand, "upstream" markets for the supply of retail companies with everyday consumer goods, of a national dimension.</w:t>
      </w:r>
    </w:p>
    <w:p>
      <w:r>
        <w:t>A. DOWNSTREAM MARKETS OF DISTRIBUTION</w:t>
        <w:br/>
        <w:t>1. SERVICE MARKETS</w:t>
        <w:br/>
        <w:t>7.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trade, (iv) small retail trade, (v) maxi-discounters, (vi) mail order sales.</w:t>
      </w:r>
    </w:p>
    <w:p>
      <w:r>
        <w:t>8. Supermarkets are usually defined as food-dominant stores with a legal sales area of less than 2,500 m².</w:t>
      </w:r>
    </w:p>
    <w:p>
      <w:r>
        <w:t>9. In this case, the stores involved in the operation currently occupy a sales area of 2,886 m² (Intermarché) and 580 m² (Netto), respectively. The Intermarché outlet therefore falls into the category of hypermarkets. Conversely, the Netto outlet falls into the category of supermarkets and more specifically into the category of maxi-discounters.</w:t>
      </w:r>
    </w:p>
    <w:p>
      <w:r>
        <w:t>2. GEOGRAPHICAL DELIMITATION</w:t>
        <w:br/>
        <w:t>10. In its recent decisions concerning operations involving hypermarkets or supermarkets, the Competition Authority has reiterated that depending on the size of the stores concerned, the conditions of competition must be assessed over two different areas:</w:t>
        <w:br/>
        <w:t>- a first market where the demand from consumers in an area meets the supply of hypermarkets to which they have access within less than 30 minutes of travel by car and which are, from their point of view, substitutable for each other;</w:t>
        <w:br/>
        <w:t>- a second market where the demand from consumers meets the supply of supermarkets and equivalent forms of commerce located within less than 15 minutes of travel time by car. These latter forms of commerce may include, in addition to supermarkets, hypermarkets located near consumers and discount stores.</w:t>
      </w:r>
    </w:p>
    <w:p>
      <w:r>
        <w:t>11. Other criteria may nevertheless be taken into account to assess the impact of a concentration on the competitive situation in retail distribution markets, which may lead to refining, in the specific case, the usual delimitations presented above.</w:t>
      </w:r>
    </w:p>
    <w:p>
      <w:r>
        <w:t>12. In this case, the Intermarché outlet concerned falling into the category of hypermarkets, the competitive analysis will be conducted on the market including hypermarkets within a 30-minute radius around Saint Hilaire de Loulay as well as on the market including supermarkets and equivalent forms of commerce located within a 15-minute radius around Saint Hilaire de Loulay, a market where the Netto outlet concerned by the operation is also located.</w:t>
      </w:r>
    </w:p>
    <w:p>
      <w:r>
        <w:t>B. UPSTREAM SUPPLY MARKETS</w:t>
        <w:br/>
        <w:t>13. Regarding supply markets, the European Commission has recognized the existence of national markets by major product groups, a delimitation followed by national authorities.</w:t>
      </w:r>
    </w:p>
    <w:p>
      <w:r>
        <w:t>14. There is no need to challenge this delimitation in the context of the present operation.</w:t>
      </w:r>
    </w:p>
    <w:p>
      <w:r>
        <w:rPr>
          <w:b/>
        </w:rPr>
        <w:t>[Pages 4–5]</w:t>
      </w:r>
    </w:p>
    <w:p>
      <w:r>
        <w:t xml:space="preserve">III. Competitive Analysis  </w:t>
        <w:br/>
        <w:t xml:space="preserve">A. DOWNSTREAM MARKET OF FOOD DISTRIBUTION  </w:t>
        <w:br/>
        <w:t xml:space="preserve">15. In the market comprising supermarkets located within a 15-minute drive catchment area around Saint Hilaire de Loulay, the Intermarché operated by the target represents 15.7% of the sales area, while the store under the Netto brand represents 3.2% of the sales area. Furthermore, an Intermarché operated within the catchment area in the commune of Vieillevigne represents 8.1% of the sales area. The combined market share of these three supermarkets therefore represents 26.9% of the sales area of the catchment area. Additionally, the Netto store obtained authorization on February 11, 2010, to expand its sales area to 900 m². This extension will result in an increase in the market shares of the brands of the ITM Entreprises group to 28.2%.  </w:t>
        <w:br/>
        <w:t xml:space="preserve">16. These stores face competition from three supermarkets of the Système U group holding 37.3% of the market shares, from a store operated under the Leclerc brand holding 28% of the market shares, and from three other stores under the Shopi and Aldi brands.  </w:t>
        <w:br/>
        <w:t xml:space="preserve">17. In the market comprising hypermarkets located within a 30-minute drive catchment area around Saint Hilaire de Loulay, the Intermarché operated by the target represents 10.2% of the sales area. A hypermarket operated in Saint André de la Marche under the Intermarché brand represents 8.8% of the sales area. The combined market share of these two hypermarkets therefore represents 19% of the sales area of the catchment area. These stores face competition from four hypermarkets of the Système U group holding 48.1% of the market shares and from two hypermarkets of the Leclerc group holding 32.9% of the sales area.  </w:t>
        <w:br/>
        <w:t xml:space="preserve">18. Consequently, the operation is not likely to harm competition in the markets concerned.  </w:t>
        <w:br/>
        <w:t xml:space="preserve">B. UPSTREAM SUPPLY MARKET  </w:t>
        <w:br/>
        <w:t xml:space="preserve">19. Regarding the upstream supply markets, the operation only concerns two stores and is therefore not likely to significantly strengthen the purchasing power of the ITM Entreprises group, across all products as well as by major product groups.  </w:t>
        <w:br/>
        <w:t>20. Consequently, the operation is not likely to harm competition in both the downstream and upstream distribution markets.</w:t>
      </w:r>
    </w:p>
    <w:p>
      <w:r>
        <w:t xml:space="preserve">DECIDES  </w:t>
        <w:br/>
        <w:t xml:space="preserve">Single Article: The operation notified under number 10-0203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