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https://www.autoritedelaconcurrence.fr/fr/decision-de-controle-des-concentrations/relative-la-prise-de-controle-exclusif-de-la-societe-130</w:t>
      </w:r>
    </w:p>
    <w:p>
      <w:r>
        <w:t>Pages translated : 2</w:t>
      </w:r>
    </w:p>
    <w:p/>
    <w:p>
      <w:r>
        <w:rPr>
          <w:b/>
        </w:rPr>
        <w:t>[Pages 1–2]</w:t>
      </w:r>
    </w:p>
    <w:p>
      <w:r>
        <w:t xml:space="preserve">French Republic  </w:t>
        <w:br/>
        <w:t xml:space="preserve">Decision No. 15-DCC-39 of March 26, 2015  </w:t>
        <w:br/>
        <w:t xml:space="preserve">regarding the exclusive control acquisition of Santal SA  </w:t>
        <w:br/>
        <w:t>by Coop Atlantique</w:t>
      </w:r>
    </w:p>
    <w:p>
      <w:r>
        <w:t>The Competition Authority,</w:t>
      </w:r>
    </w:p>
    <w:p>
      <w:r>
        <w:t xml:space="preserve">Having regard to the complete notification file submitted to the mergers department on March 9, 2015,  </w:t>
        <w:br/>
        <w:t xml:space="preserve">concerning the acquisition by Coop Atlantique of exclusive control over Santal SA,  </w:t>
        <w:br/>
        <w:t>and formalized by an exclusive negotiation protocol dated March 6, 2015;</w:t>
      </w:r>
    </w:p>
    <w:p>
      <w:r>
        <w:t xml:space="preserve">Having regard to Book IV of the Commercial Code relating to the freedom of prices and competition, and  </w:t>
        <w:br/>
        <w:t>notably its Articles L. 430-1 to L. 430-7;</w:t>
      </w:r>
    </w:p>
    <w:p>
      <w:r>
        <w:t>Adopts the following decision:</w:t>
      </w:r>
    </w:p>
    <w:p>
      <w:r>
        <w:t>1. The notified operation consists of the acquisition of Santal SA, which operates a retail outlet with a food-dominant focus under the Super U brand in the city of Buxerolles (86) by Coop Atlantique, active in food-dominant distribution in western France. The operation constitutes a concentration within the meaning of Article L. 430-1 of the Commercial Code. Given the turnover achieved by the companies concerned, the operation does not fall under the jurisdiction of the European Union. However,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15-037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