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https://www.autoritedelaconcurrence.fr/fr/decision-de-controle-des-concentrations/relative-la-prise-de-controle-exclusif-de-la-societe-131</w:t>
      </w:r>
    </w:p>
    <w:p>
      <w:r>
        <w:t>Pages translated : 4</w:t>
      </w:r>
    </w:p>
    <w:p/>
    <w:p>
      <w:r>
        <w:rPr>
          <w:b/>
        </w:rPr>
        <w:t>[Pages 1–3]</w:t>
      </w:r>
    </w:p>
    <w:p>
      <w:r>
        <w:t xml:space="preserve">FRENCH REPUBLIC  </w:t>
        <w:br/>
        <w:t xml:space="preserve">Decision No. 15-DCC-42 of April 10, 2015  </w:t>
        <w:br/>
        <w:t xml:space="preserve">regarding the exclusive control of Exagroup SAS by  </w:t>
        <w:br/>
        <w:t xml:space="preserve">Cimpress NV  </w:t>
        <w:br/>
        <w:t xml:space="preserve">The Competition Authority,  </w:t>
        <w:br/>
        <w:t xml:space="preserve">Having regard to the notification file submitted in full to the merger service on March 9, 2015,  </w:t>
        <w:br/>
        <w:t xml:space="preserve">regarding the exclusive control of Exagroup SAS by Cimpress NV, formalized by an acquisition contract dated March 2,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Cimpress NV (hereinafter "Cimpress") is a public limited company under Dutch law listed on the Nasdaq Global Select. It develops software and production tools aimed at marketing graphic arts and printing products and services for individuals and professionals through the brands Vistaprint, Albelli, Drukwerkdeal, and Pixartprinting. Cimpress operates exclusively online.  </w:t>
        <w:br/>
        <w:t xml:space="preserve">2. Exagroup SAS (hereinafter "Exagroup"), a company majority-owned by the [X] family, is a provider of customized printing products and services that manufactures and sells printed marketing and promotional products, signage products, and labeling products. The majority of its revenue is generated online, except for the revenue of its subsidiary Pure Impression1. The services offered by Exagroup are exclusively aimed at professionals.  </w:t>
        <w:br/>
        <w:t xml:space="preserve">3. The operation, formalized by an acquisition contract dated March 2, 2015, will take place in two phases. Upon implementation of the operation, Cimpress [confidential] will acquire 70% of the capital and voting rights of Exagroup, with the remaining capital held by two individuals from the Dematté family, who will be appointed as Chief Executive Officer and Deputy Chief Executive Officer, respectively. The draft shareholders' agreement and the draft amendment to Exagroup's articles of association do not include rights exceeding the protection of minority shareholders for the protection of their financial interests, Cimpress will have exclusive control over Exagroup from the first phase of the operation. Subsequently, [confidential], [Cimpress] will be able to acquire the remaining capital of Exagroup.  </w:t>
        <w:br/>
        <w:t xml:space="preserve">4. As it results in the exclusive control of Exagroup by Cimpress, the notified operation constitutes a concentration operation within the meaning of Article L. 430-1 of the Commercial Code.  </w:t>
        <w:br/>
        <w:t xml:space="preserve">5. The companies concerned together generate a total worldwide turnover excluding tax of more than 150 million euros (Cimpress: 1 billion euros for the fiscal year ending June 30, 2014; Exagroup: […] euros for the fiscal year ending December 31, 2013). Each of these companies has generated a turnover in France exceeding 50 million euros (Cimpress: […] euros for the fiscal year ending June 30, 2014; Exagroup: […] euros for the fiscal year ending December 31, 2013).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1. Definition by products  </w:t>
        <w:br/>
        <w:t xml:space="preserve">6. The parties to the operation are simultaneously active in the printing and graphic arts sector, and more specifically, in the design, manufacture, and marketing of marketing and promotional products.  </w:t>
        <w:br/>
        <w:t xml:space="preserve">7. The competition authorities2 have had the opportunity to examine the printing and graphic arts sector and have distinguished the market for newspaper printing on the one hand and the labor printing market, which covers the printing of books, magazines, catalogs, advertising prints, displays, and packaging, on the other hand. Within this latter market, a distinction has been made between the market for magazine printing and that for catalog and advertising print printing. In its opinion No. 09-A-01, the Competition Council estimated that technological developments could challenge the previous practice that segmented based on printing processes (gravure and offset).  </w:t>
        <w:br/>
        <w:t xml:space="preserve">2 See the opinion of the Competition Council No. 09-A-01 of February 6, 2009, regarding the acquisition of the Maury group companies by CirclePrinters, the letter C2008-89 from the Minister of Economy dated March 4, 2009, to the board of Quebecor regarding a concentration in the printing sector; the opinion of the Competition Council No. 02-A-01 of February 15, 2002, regarding the acquisition of European Graphic Group or E2G, a subsidiary of Hachette Filipachi Presse, by Imprimerie Quebecor France; the decisions of the European Commission No. COMP/M.3322 Polestar/Prisa/Inversiones Ibersuizas/JV of December 15, 2003, No. COMP/M.3178 Bertelsmann/Springer/JV of May 3, 2005, and No. COMP/M.4893 Quebecor World/RSDB of December 14, 2007.  </w:t>
        <w:br/>
        <w:t xml:space="preserve">8. In this case, the parties to the operation are exclusively active in the printing of marketing and promotional products, a segment on which decisional practice has not yet pronounced itself. The parties specifically manufacture the following products: (i) paper-based marketing products (business cards, brochures); (ii) signage products and point-of-sale advertising (banners, signs, stands); (iii) non-paper promotional products (textile products, mugs, pens); (iv) labeling products (labels, stickers).  </w:t>
        <w:br/>
        <w:t xml:space="preserve">9. The parties have proposed to segment the labor printing market in order to distinguish the markets for magazine printing and the printing of catalogs and advertising prints from that of the printing of marketing and promotional products. They propose to segment this based on the type of products sold as mentioned in the previous paragraph.  </w:t>
        <w:br/>
        <w:t xml:space="preserve">10. In this case, the conclusions of the competitive analysis remain unchanged regardless of the delimitation retained, the analysis will be conducted on the markets defined according to the segmentations used by the parties, without the need to definitively resolve the issue.  </w:t>
        <w:br/>
        <w:t xml:space="preserve">11. The parties also consider that it is not necessary to delimit the relevant markets based on the sales modalities (sales within a physical point of sale/online sales) or whether the customer is a professional ("BtoB") or an individual ("BtoC"). However, the analysis will be conducted according to the most conservative assumption, namely by distinguishing between in-store sales and online sales and according to the type of customer. In this case, the activities of the parties overlap in the online BtoB segment.  </w:t>
        <w:br/>
        <w:t xml:space="preserve">12. It follows that, in a potential online BtoB market for the printing of marketing and promotional products, in which the parties are simultaneously present, the effects of the operation will be analyzed on the segments (i) of paper-based marketing products; (ii) of signage products and point-of-sale advertising; (iii) of non-paper promotional products; and (iv) of labeling products.  </w:t>
        <w:br/>
        <w:t xml:space="preserve">2. GEOGRAPHICAL DELIMITATION  </w:t>
        <w:br/>
        <w:t xml:space="preserve">13. The parties consider that the geographical dimension of the online printing and graphic arts market is at least European, as sales are often transnational. Indeed, customers can order on a local website but can request that the products be delivered to their chosen destination. The parties emphasize that transport costs being low, they do not constitute a significant barrier to entry.  </w:t>
        <w:br/>
        <w:t>14. In any case, the question of the exact delimitation of the markets can be left open, as the conclusions of the competitive analysis remain unchanged regardless of the delimitation retained. In this case, the competitive analysis will be conducted according to the most conservative assumption, namely on markets of national dimension.</w:t>
      </w:r>
    </w:p>
    <w:p>
      <w:r>
        <w:rPr>
          <w:b/>
        </w:rPr>
        <w:t>[Pages 4–4]</w:t>
      </w:r>
    </w:p>
    <w:p>
      <w:r>
        <w:t xml:space="preserve">III. Competitive Analysis  </w:t>
        <w:br/>
        <w:t xml:space="preserve">15. The market shares in value of the parties in the online BtoB printing market for marketing and promotional products and its sub-segments are reproduced in the table below.  </w:t>
        <w:br/>
        <w:t xml:space="preserve">Cimpress Exagroup New entity  </w:t>
        <w:br/>
        <w:t xml:space="preserve">Marketing and promotional products [0-5] % [0-5] % [5-10] %  </w:t>
        <w:br/>
        <w:t xml:space="preserve">Paper products [0-5] % [0-5] % [5-10] %  </w:t>
        <w:br/>
        <w:t xml:space="preserve">Signage and POS [0-5] % [0-5] % [5-10] %  </w:t>
        <w:br/>
        <w:t xml:space="preserve">Promotional products [0-5] % -- [0-5] %  </w:t>
        <w:br/>
        <w:t>Labels [0-5] % [0-5] % [0-5] %</w:t>
      </w:r>
    </w:p>
    <w:p>
      <w:r>
        <w:t xml:space="preserve">16. It follows that the market share of the new entity will be below [5-10] % with an increment of less than [0-5] % regardless of the segmentation considered.  </w:t>
        <w:br/>
        <w:t xml:space="preserve">17. The parties were unable to provide the market shares of their competitors. However, they note that the printing and graphic arts sector is not highly concentrated and includes a large number of players. Notable competitors in the online marketing and promotional products printing market include Rapidflyer, Realisaprint, Easyflyer, Imprimeo, and Veoprint.  </w:t>
        <w:br/>
        <w:t>18. It follows from the above that the transaction is not likely to harm competition in the markets for marketing and promotional products printing.</w:t>
      </w:r>
    </w:p>
    <w:p>
      <w:r>
        <w:t xml:space="preserve">DECIDES  </w:t>
        <w:br/>
        <w:t xml:space="preserve">Sole Article: The transaction notified under number 15-026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