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https://www.autoritedelaconcurrence.fr/fr/decision-de-controle-des-concentrations/relative-la-prise-de-controle-exclusif-de-la-societe-132</w:t>
      </w:r>
    </w:p>
    <w:p>
      <w:r>
        <w:t>Pages translated : 2</w:t>
      </w:r>
    </w:p>
    <w:p/>
    <w:p>
      <w:r>
        <w:rPr>
          <w:b/>
        </w:rPr>
        <w:t>[Pages 1–2]</w:t>
      </w:r>
    </w:p>
    <w:p>
      <w:r>
        <w:t xml:space="preserve">REPUBLIC OF FRANCE  </w:t>
        <w:br/>
        <w:t xml:space="preserve">Decision No. 15-DCC-49 of April 27, 2015  </w:t>
        <w:br/>
        <w:t xml:space="preserve">regarding the exclusive control acquisition of the company Mercedes-Benz VI Toulouse by the Hamecher group  </w:t>
        <w:br/>
        <w:t xml:space="preserve">The Competition Authority,  </w:t>
        <w:br/>
        <w:t xml:space="preserve">Having regard to the complete notification file submitted to the mergers department on April 7, 2015, concerning the exclusive control acquisition of the company Mercedes-Benz VI Toulouse by the Hamecher group, formalized by a transfer agreement dated March 17,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Mercedes-Benz VI Toulouse, engaged in the activity of commercial vehicle dealership of the Mercedes Benz brand in the department of Haute Garonne (31), by the Hamecher group, which controls several Mercedes Benz car dealerships in other departments. This operation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15-049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