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https://www.autoritedelaconcurrence.fr/fr/decision-de-controle-des-concentrations/relative-la-prise-de-controle-exclusif-de-la-societe-133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15-DCC-50 of May 12, 2015  </w:t>
        <w:br/>
        <w:t xml:space="preserve">regarding the exclusive control acquisition of the company Exclusive Group  </w:t>
        <w:br/>
        <w:t xml:space="preserve">by the company Cobepa  </w:t>
        <w:br/>
        <w:t xml:space="preserve">The Competition Authority,  </w:t>
        <w:br/>
        <w:t xml:space="preserve">Having regard to the complete notification file submitted to the mergers department on April 21, 2015,  </w:t>
        <w:br/>
        <w:t xml:space="preserve">concerning the exclusive control acquisition of the company Exclusive Group by the company Cobepa* and  </w:t>
        <w:br/>
        <w:t xml:space="preserve">formalized by a "put option" signed on March 20,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Cobepa, an  </w:t>
        <w:br/>
        <w:t xml:space="preserve">investment company under Belgian law ultimately controlled by the company Vedipar SA,  </w:t>
        <w:br/>
        <w:t xml:space="preserve">of Exclusive Group and its subsidiary, the company Exclusive Networks, active in the specialized distribution  </w:t>
        <w:br/>
        <w:t xml:space="preserve">of new technologies in the field of computer security, data storage, and computer networks. This operation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 </w:t>
        <w:br/>
        <w:t xml:space="preserve">of the European Union. On the other hand, the control thresholds relating to  </w:t>
        <w:br/>
        <w:t xml:space="preserve">concentration operations mentioned in point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 xml:space="preserve">competition in the relevant markets.  </w:t>
        <w:br/>
        <w:t>* Correction of a material error.</w:t>
      </w:r>
    </w:p>
    <w:p>
      <w:r>
        <w:t xml:space="preserve">DECIDES  </w:t>
        <w:br/>
        <w:t xml:space="preserve">Sole Article: The operation notified under number 15-051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