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https://www.autoritedelaconcurrence.fr/fr/decision-de-controle-des-concentrations/relative-la-prise-de-controle-exclusif-de-la-societe-134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19-DCC-172 of September 6, 2019  </w:t>
        <w:br/>
        <w:t xml:space="preserve">regarding the exclusive control acquisition of the company  </w:t>
        <w:br/>
        <w:t xml:space="preserve">Laboratoires Filorga Cosmétiques  </w:t>
        <w:br/>
        <w:t xml:space="preserve">by the Colgate-Palmolive group  </w:t>
        <w:br/>
        <w:t xml:space="preserve">The Competition Authority,  </w:t>
        <w:br/>
        <w:t xml:space="preserve">Having regard to the complete notification file sent to the mergers department on August 7, 2019,  </w:t>
        <w:br/>
        <w:t xml:space="preserve">concerning the exclusive control acquisition of the company Laboratoires Filorga Cosmétiques by the  </w:t>
        <w:br/>
        <w:t xml:space="preserve">Colgate-Palmolive group, formalized by a share purchase agreement dated  </w:t>
        <w:br/>
        <w:t xml:space="preserve">July 11,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 </w:t>
        <w:br/>
        <w:t xml:space="preserve">Laboratoires Filorga Cosmétiques by the Colgate-Palmolive group. It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The operation has also been notified to the Austrian and Russian competition authorities.  </w:t>
        <w:br/>
        <w:t xml:space="preserve">3. The markets concerned by the operation are those for the supply of perfumes and cosmetics,  </w:t>
        <w:br/>
        <w:t xml:space="preserve">which are consistently defined by the decision-making practice of the Competition Authority.  </w:t>
        <w:br/>
        <w:t xml:space="preserve">4. Regardless of the segmentations retained, the combined market shares of the parties are  </w:t>
        <w:br/>
        <w:t xml:space="preserve">below 25%.  </w:t>
        <w:br/>
        <w:t xml:space="preserve">5.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19-200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