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https://www.autoritedelaconcurrence.fr/fr/decision-de-controle-des-concentrations/relative-la-prise-de-controle-exclusif-de-la-societe-136</w:t>
      </w:r>
    </w:p>
    <w:p>
      <w:r>
        <w:t>Pages translated : 5</w:t>
      </w:r>
    </w:p>
    <w:p/>
    <w:p>
      <w:r>
        <w:rPr>
          <w:b/>
        </w:rPr>
        <w:t>[Pages 1–3]</w:t>
      </w:r>
    </w:p>
    <w:p>
      <w:r>
        <w:t xml:space="preserve">FRENCH REPUBLIC  </w:t>
        <w:br/>
        <w:t xml:space="preserve">Decision No. 15-DCC-67 of June 8, 2015  </w:t>
        <w:br/>
        <w:t xml:space="preserve">regarding the exclusive control of the company  </w:t>
        <w:br/>
        <w:t xml:space="preserve">Parfidis by the company Retail Leader Price Investissement  </w:t>
        <w:br/>
        <w:t xml:space="preserve">(Casino Group)  </w:t>
        <w:br/>
        <w:t xml:space="preserve">The Competition Authority,  </w:t>
        <w:br/>
        <w:t xml:space="preserve">Having regard to the notification file submitted in full to the merger service on April 28, 2015,  </w:t>
        <w:br/>
        <w:t xml:space="preserve">regarding the exclusive control of the company Parfidis by the company Retail Leader Price  </w:t>
        <w:br/>
        <w:t xml:space="preserve">Investissement, formalized by a memorandum of understanding dated January 29, 2015;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Retail Leader Price Investissement (hereinafter "RLPI") is a subsidiary of the Casino Guichard Perrachon group whose main purpose is to acquire stakes in companies operating stores under the Leader Price brand. The Casino group, a French player in food-dominant distribution, manages a network of over 14,000 stores (hypermarkets, supermarkets, convenience stores, discount stores) under brands including Franprix, Géant Casino, Casino Supermarché, Petit Casino, Spar, Vival, Monoprix, and Leader Price. The Casino group is also present in the online distribution sector of non-food products with the Cdiscount brand. The Casino group is controlled by the company Euris, which is itself controlled by Mr. Jean-Charles Naouri.  </w:t>
        <w:br/>
        <w:t xml:space="preserve">2. Parfidis is a simplified joint-stock company whose capital and voting rights are held 36% by RLPI, 38% by the Planes group, and 26% by the Vernat group. Parfidis is active in the retail sector and operates 15 retail outlets under the Leader Price brand through their operating companies, of which Parfidis holds all the capital and voting rights. Prior to the transaction, Parfidis is jointly controlled by RLPI and Messrs. Planes and Vernat.  </w:t>
        <w:br/>
        <w:t xml:space="preserve">3. According to the terms of the memorandum of understanding dated January 29, 2015, the transaction involves the acquisition of all the capital and voting rights of Parfidis by RLPI no earlier than July 1, 2015, and no later than December 31, 2015. As it results in the exclusive control of the company Parfidis by RLPI, the transaction constitutes a concentration within the meaning of Article L. 430-1 of the Commercial Code.  </w:t>
        <w:br/>
        <w:t xml:space="preserve">4. The companies concerned operate several retail stores and together achieve a total worldwide turnover of over 75 million euros (Casino group: 48.5 billion euros for the fiscal year ending December 31, 2014; Parfidis: […] euros for the same fiscal year). They achieve in France, in the retail sector, a turnover exceeding 15 million euros (Casino group: 18.8 billion euros for the fiscal year ending December 31, 2014; Parfidis: […] euros for the same fiscal year). Given these turnover figures,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  </w:t>
        <w:br/>
        <w:t xml:space="preserve">II. Delimitation of relevant markets  </w:t>
        <w:br/>
        <w:t xml:space="preserve">5. According to the consistent practice of national and community competition authorities, two categories of markets can be delineated in the food-dominant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 xml:space="preserve">1 These retail outlets are located in Amélie les Bains (66), Béziers (34), Blagnac (31), Route d’Aurillac in Castelnau le Lez (34), Lattes (34), Mazamet (81), Millau (12), Montpellier (34), Narbonne (11), Place des Capucines in Onet le Château (12), Revel (31), Toulouse (35, rue Bernard Ventadour and 175, Route de Revel) (31), Tournefeuille (31), Vias (34).  </w:t>
        <w:br/>
        <w:t xml:space="preserve">2 See the decision of the Competition Authority No. 12-DCC-73 of May 30, 2012, regarding the creation of a full-function joint venture by Retail Leader Price Investissement (Casino group) and Messrs. Planes and Vernat.  </w:t>
        <w:br/>
        <w:t xml:space="preserve">3 See in particular the decisions of the Commission M.496 Intermarché/Spar of June 30, 1997, M.991 Promodès/Casino of October 30, 1997, and M.1684 Carrefour/Promodès of January 25, 2000. See also and in particular the decision of the Competition Authority No. 12-DCC-48 of April 6, 2012, regarding the exclusive control of the company Sofides by ITM Entreprises.  </w:t>
        <w:br/>
        <w:t>4 See in particular the decisions of the Commission M.1221 Rewe/Meinl of February 3, 1999, M.1684 Carrefour/Promodès of January 25, 2000, and M.2115 Carrefour/GB of September 28, 2000. See also the decision C.2005-98 Carrefour/Penny Market of November 10, 2005.</w:t>
      </w:r>
    </w:p>
    <w:p>
      <w:r>
        <w:t xml:space="preserve">A. DOWNSTREAM DISTRIBUTION MARKETS  </w:t>
        <w:br/>
        <w:t xml:space="preserve">1. SERVICE MARKETS  </w:t>
        <w:br/>
        <w:t xml:space="preserve">6. Decision-making practice distinguishes six categories of retail trade of everyday consumer goods, using several criteria, notably the size of the stores, their sales techniques, their accessibility, the nature of the service provided, and the range of products offered: (i) hypermarkets (food-dominant stores with a legal sales area exceeding 2,500 m²), (ii) supermarkets (between 400 and 2,500 m²), (iii) specialized trade, (iv) small retail trade (less than 400 m²), (v) maxi-discounters, (vi) mail-order sales.  </w:t>
        <w:br/>
        <w:t xml:space="preserve">7. Decision-making practice specifies, however, that the surface thresholds must be used with caution and can be adapted to the specific case, as stores whose area is near a threshold, either below or above, may find themselves in direct competition with stores of another category. Competition authorities consider that, while each category of store retains its specificity, there is asymmetric competition between certain of these categories. For the provinces, they thus distinguish: (i) a market comprising only hypermarkets, and (ii) a market comprising supermarkets and equivalent forms of trade (hypermarkets, hard-discount, and popular stores) excluding small retail trade (less than 400 m²).  </w:t>
        <w:br/>
        <w:t xml:space="preserve">8. In this case, the 15 stores operated by Parfidis have an area of less than 2,500 m² and therefore fall into the category of supermarkets.  </w:t>
        <w:br/>
        <w:t xml:space="preserve">2. GEOGRAPHICAL DELIMITATION  </w:t>
        <w:br/>
        <w:t xml:space="preserve">9. Competition authorities have examined the effects of concentrations in the food-dominant retail distribution sector at the local level, corresponding to the catchment area associated with each store and whose extent is dependent on the travel time for the consumer.  </w:t>
        <w:br/>
        <w:t xml:space="preserve">10. The Competition Authority has emphasized that, for stores with an area exceeding 400 m², the conditions of competition are assessed over two different areas:  </w:t>
        <w:br/>
        <w:t xml:space="preserve">- a first market where the demand from consumers in an area meets the supply of hypermarkets to which they have access within less than 30 minutes of travel by car and which are, from their point of view, substitutable with each other, and  </w:t>
        <w:br/>
        <w:t>- a second market where the demand from consumers meets the supply of supermarkets and equivalent forms of trade located within less than 15 minutes of travel by car. These latter forms of trade may include, in addition to supermarkets, hypermarkets located near consumers and discount stores.</w:t>
      </w:r>
    </w:p>
    <w:p>
      <w:r>
        <w:rPr>
          <w:b/>
        </w:rPr>
        <w:t>[Pages 4–5]</w:t>
      </w:r>
    </w:p>
    <w:p>
      <w:r>
        <w:t>11. The Authority considers that the competitive analysis only concerns the second market when the target store is a supermarket, with the first market being considered only when the target store is a hypermarket.</w:t>
      </w:r>
    </w:p>
    <w:p>
      <w:r>
        <w:t>12. The Authority consistently specifies, however, that these delineations are subject to change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delineations presented above.</w:t>
      </w:r>
    </w:p>
    <w:p>
      <w:r>
        <w:t>13. In this case, the stores operated by the parties fall into the category of supermarkets. The markets concerned are therefore defined as catchment areas determined by a driving time of a maximum of 15 minutes from the 15 target stores.</w:t>
      </w:r>
    </w:p>
    <w:p>
      <w:r>
        <w:t>B. UPSTREAM SUPPLY MARKET</w:t>
      </w:r>
    </w:p>
    <w:p>
      <w:r>
        <w:t>14. Regarding the supply markets, the European Commission has recognized the existence of national markets by major product groups, a delineation followed by national authorities.</w:t>
      </w:r>
    </w:p>
    <w:p>
      <w:r>
        <w:t>15. There is no need to challenge this delineation in the context of the present transaction.</w:t>
      </w:r>
    </w:p>
    <w:p>
      <w:r>
        <w:t>III. Competitive Analysis</w:t>
      </w:r>
    </w:p>
    <w:p>
      <w:r>
        <w:t>A. DOWNSTREAM RETAIL MARKETS WITH A FOOD DOMINANCE</w:t>
      </w:r>
    </w:p>
    <w:p>
      <w:r>
        <w:t>16. The transaction results in an overlap of activities between stores operated by RLPI or its subsidiaries and other stores owned by the Casino group in the 15 concerned catchment areas.</w:t>
      </w:r>
    </w:p>
    <w:p>
      <w:r>
        <w:t>17. In 13 catchment areas, the combined market share of the parties to the transaction will remain below 35% following the transaction, and the new entity will continue to face competition from at least three different brands.</w:t>
      </w:r>
    </w:p>
    <w:p>
      <w:r>
        <w:t>18. In the Revel (31) area, the target store represents [10-20]% of the sales area and a Casino store 26.7%. The new entity will therefore hold a market share of [40-50]%. Nevertheless, it will continue to face competition from an Intermarché store ([30-40]% of the sales area of the zone), an Aldi store ([10-20]%), and a Système U store ([5-10]%).</w:t>
      </w:r>
    </w:p>
    <w:p>
      <w:r>
        <w:t>19. In the Millau (12) area, the target store represents [5-10]% of the sales area and a Casino store 32.3%. The new entity will therefore hold a market share of [40-50]%. Nevertheless, it will continue to face competition from a Leclerc store ([20-30]% of the sales area of the zone), a Carrefour store ([10-20]%), and an Auchan store ([10-20]%).</w:t>
      </w:r>
    </w:p>
    <w:p>
      <w:r>
        <w:t>20. Consequently, the transaction is not likely to harm competition in the downstream retail markets with a food dominance.</w:t>
      </w:r>
    </w:p>
    <w:p>
      <w:r>
        <w:t>B. UPSTREAM SUPPLY MARKETS</w:t>
      </w:r>
    </w:p>
    <w:p>
      <w:r>
        <w:t>21. Regarding the upstream supply markets, the transaction is limited to 15 stores, representing in 2014 less than [0-5]% of the revenue generated in France by the entire food distribution activity of the Casino group. The acquisition of exclusive control of Parfidis, previously held in joint control, is therefore not likely to significantly strengthen the purchasing power of the Casino group, both in the overall supply market and in the supply markets segmented by major product groups. The strengthening of the Casino group in these markets following the transaction will be even more minor since, prior to the transaction, the stores subject to the notified operation were already under the Leader Price brand and were already predominantly supplied by the Casino group.</w:t>
      </w:r>
    </w:p>
    <w:p>
      <w:r>
        <w:t>DECIDES</w:t>
      </w:r>
    </w:p>
    <w:p>
      <w:r>
        <w:t>Sole Article: The transaction notified under number 15-050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