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https://www.autoritedelaconcurrence.fr/fr/decision-de-controle-des-concentrations/relative-la-prise-de-controle-exclusif-de-la-societe-137</w:t>
      </w:r>
    </w:p>
    <w:p>
      <w:r>
        <w:t>Pages translated : 5</w:t>
      </w:r>
    </w:p>
    <w:p/>
    <w:p>
      <w:r>
        <w:rPr>
          <w:b/>
        </w:rPr>
        <w:t>[Pages 1–3]</w:t>
      </w:r>
    </w:p>
    <w:p>
      <w:r>
        <w:t xml:space="preserve">FRENCH REPUBLIC  </w:t>
        <w:br/>
        <w:t xml:space="preserve">Decision No. 15-DCC-71 of June 17, 2015  </w:t>
        <w:br/>
        <w:t xml:space="preserve">regarding the exclusive control of the company Papeteries Pichon  </w:t>
        <w:br/>
        <w:t>by the company Manutan International</w:t>
      </w:r>
    </w:p>
    <w:p>
      <w:r>
        <w:t xml:space="preserve">The Competition Authority,  </w:t>
        <w:br/>
        <w:t xml:space="preserve">Having regard to the notification file submitted in full to the merger service on May 11, 2015,  </w:t>
        <w:br/>
        <w:t xml:space="preserve">regarding the exclusive control of the company Papeteries Pichon by the company Manutan  </w:t>
        <w:br/>
        <w:t xml:space="preserve">International, formalized by a share transfer agreement dated March 3, 2015;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Manutan International is the parent holding company of the Manutan group (hereinafter, "Manutan"), active  </w:t>
        <w:br/>
        <w:t xml:space="preserve">in the sector of distance selling of equipment intended for a professional clientele, including the distribution of office supplies and furniture, audiovisual equipment, tools, and handling equipment. The company Manutan International is controlled by the Guichard family, which holds directly or indirectly  </w:t>
        <w:br/>
        <w:t>[...] % of its capital and [...] % of its voting rights. Manutan, which operates in 19 European countries, markets its products through both paper catalogs and electronic media. Its subsidiary Sports et Loisirs also has 12 agencies located in major cities in France.</w:t>
      </w:r>
    </w:p>
    <w:p>
      <w:r>
        <w:t xml:space="preserve">2. The company Papeteries Pichon (hereinafter, "Papeteries Pichon") is exclusively active in the  </w:t>
        <w:br/>
        <w:t>sector of distance selling of stationery items, office supplies, games and toys, and educational manuals intended for a clientele in the public sector primarily composed of educational institutions. The company Papeteries Pichon is exclusively controlled by the Pichon family through the companies Odimax and Finamax.</w:t>
      </w:r>
    </w:p>
    <w:p>
      <w:r>
        <w:t xml:space="preserve">3. The notified transaction, formalized by a share transfer agreement dated March 3, 2015,  </w:t>
        <w:br/>
        <w:t xml:space="preserve">involves the acquisition of 100% of the capital and voting rights of the company Papeteries  </w:t>
        <w:br/>
        <w:t>Pichon from the companies Finamax and Odimax. As it results in the exclusive control of the company Papeteries Pichon by the Manutan group, the notified transaction constitutes a concentration within the meaning of Article L. 430-1 of the Commercial Code.</w:t>
      </w:r>
    </w:p>
    <w:p>
      <w:r>
        <w:t>4. The companies concerned achieved a combined consolidated turnover excluding taxes on a global scale of more than 150 million euros in 2014 (Manutan International: [...] euros for the fiscal year ending September 30, 2014; Papeteries Pichon: [...] euros for the fiscal year ending December 31, 2014). Each of these companies achieved, in France, a turnover exceeding 50 million euros (Manutan International: [...] euros for the fiscal year ending September 30, 2014; Papeteries Pichon: [...] euros for the fiscal year ending December 31, 2014).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the relevant markets  </w:t>
        <w:br/>
        <w:t>5. The parties to the present transaction are simultaneously active in the sector of distance distribution of equipment intended for professionals. In this sector, the parties are both present upstream as buyers from manufacturers of the different families of equipment, and downstream in the market for the distribution of equipment to professionals.</w:t>
      </w:r>
    </w:p>
    <w:p>
      <w:r>
        <w:t xml:space="preserve">A. UPSTREAM MARKETS FOR SUPPLY  </w:t>
        <w:br/>
        <w:t xml:space="preserve">1. PRODUCT MARKETS  </w:t>
        <w:br/>
        <w:t>6. The Manutan group, as well as the company Papeteries Pichon, purchase from various producers the equipment they then distribute primarily to professionals.</w:t>
      </w:r>
    </w:p>
    <w:p>
      <w:r>
        <w:t>7. In the field of distribution, national decision-making practice considers that, insofar as producers cannot easily convert to the manufacture of other products than their own, it is appropriate to distinguish as many markets as there are product families. In the present case, the different equipment distributed by the parties belongs to the following families, already considered by the Authority for the competitive analysis of a previous transaction: (i) office supplies and furniture; (ii) audiovisual; (iii) tools; (iv) handling; (v) hygiene; (vi) collective equipment; (vii) sports; (viii) games and toys; (ix) educational books.</w:t>
      </w:r>
    </w:p>
    <w:p>
      <w:r>
        <w:t xml:space="preserve">1 See notably the decision of the Competition Authority No. 09-DCC-26 of July 24, 2009, regarding the acquisition of the company Camif Collectivités by the company Manutan International.  </w:t>
        <w:br/>
        <w:t>2 See the aforementioned decision No. 09-DCC-26 of July 24, 2009.</w:t>
      </w:r>
    </w:p>
    <w:p>
      <w:r>
        <w:t>8. However, it is not necessary to precisely segment these different markets insofar as, regardless of the delineation of the product families chosen, the conclusions of the competitive analysis will remain unchanged.</w:t>
      </w:r>
    </w:p>
    <w:p>
      <w:r>
        <w:t xml:space="preserve">2. GEOGRAPHICAL MARKETS  </w:t>
        <w:br/>
        <w:t>9. According to decision-making practice, the different supply markets are of national scope. There is no reason to challenge this delineation on the occasion of the present operation.</w:t>
      </w:r>
    </w:p>
    <w:p>
      <w:r>
        <w:t xml:space="preserve">B. DOWNSTREAM MARKETS FOR THE DISTRIBUTION OF EQUIPMENT TO PROFESSIONALS  </w:t>
        <w:br/>
        <w:t xml:space="preserve">1. PRODUCT MARKETS  </w:t>
        <w:br/>
        <w:t>10. Decision-making practice considers that, regarding the distribution of equipment intended for professionals, it is appropriate to distinguish as many markets as there are product families. In the present case, the product families concerned by the present operation are indicated above.</w:t>
      </w:r>
    </w:p>
    <w:p>
      <w:r>
        <w:t>11. Furthermore, regarding the specific segment of the distribution of office supplies and furniture, competition authorities have considered a segmentation by distribution channels, depending on whether sales are made at a distance or in stores.</w:t>
      </w:r>
    </w:p>
    <w:p>
      <w:r>
        <w:t>12. Finally, given the specificity of public sector tenders, subject to the public procurement code, decision-making practice has considered, in addition to the previously mentioned criteria, a delimitation of product markets based on the type of clientele concerned, namely public or private.</w:t>
      </w:r>
    </w:p>
    <w:p>
      <w:r>
        <w:t>13. In any event, in the absence of competitive issues, the question of the exact delimitation of downstream markets can be left open. In this case, the parties are simultaneously active in the markets for distance selling of office supplies and furniture and games and toys.</w:t>
      </w:r>
    </w:p>
    <w:p>
      <w:r>
        <w:t xml:space="preserve">2. GEOGRAPHICAL MARKETS  </w:t>
        <w:br/>
        <w:t>14. Regarding the distribution of equipment intended for professionals, decision-making practice has retained a national delimitation, given the notable cultural differences that exist at the level of catalog design (languages and presentation), to the extent that...</w:t>
      </w:r>
    </w:p>
    <w:p>
      <w:r>
        <w:rPr>
          <w:b/>
        </w:rPr>
        <w:t>[Pages 4–5]</w:t>
      </w:r>
    </w:p>
    <w:p>
      <w:r>
        <w:t>consumer habits as well as the organization of the distribution system. The decision-making practice has adopted an identical reasoning that could be applied concerning the different product families affected by the operation.</w:t>
      </w:r>
    </w:p>
    <w:p>
      <w:r>
        <w:t>15. In the present case, the analysis will be conducted at the national level. In any event, it is not necessary to precisely define the geographical scope of the markets concerned by the present operation insofar as, regardless of the delimitation chosen, the conclusions of the analysis remain unchanged.</w:t>
      </w:r>
    </w:p>
    <w:p>
      <w:r>
        <w:t>III. Competitive Analysis</w:t>
        <w:br/>
        <w:t>1. UPSTREAM MARKETS FOR SUPPLY</w:t>
        <w:br/>
        <w:t>16. Following the operation, in the markets for the supply of office supplies and furniture and in games and toys, the purchasing share of the new entity at the national level will remain below [0-5]% according to the parties' estimates. The parties further specify that they have only one common supplier regarding their supply of office supplies and furniture. Similarly, concerning their supply of games and toys, only three suppliers are common to the parties.</w:t>
      </w:r>
    </w:p>
    <w:p>
      <w:r>
        <w:t>17. Therefore, the operation is not likely to harm competition in the upstream supply markets.</w:t>
      </w:r>
    </w:p>
    <w:p>
      <w:r>
        <w:t>2. DOWNSTREAM MARKETS FOR THE DISTRIBUTION OF EQUIPMENT TO PROFESSIONALS</w:t>
        <w:br/>
        <w:t>18. In the downstream markets for the distribution of office supplies and furniture and games and toys to professionals, the market shares of the new entity will remain below [5-10]% regardless of the segmentation chosen. In these markets, the Manutan group will continue to face competition from numerous operators such as Office Dépôt and Raja for office supplies and furniture, and Wesco Pro and Bourrelier Education for games and toys.</w:t>
      </w:r>
    </w:p>
    <w:p>
      <w:r>
        <w:t>19. Therefore, the operation is not likely to harm competition in the downstream markets for the distribution of equipment to professionals.</w:t>
      </w:r>
    </w:p>
    <w:p>
      <w:r>
        <w:t>DECIDES</w:t>
        <w:br/>
        <w:t>Sole Article: The notified operation under number 15-062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