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https://www.autoritedelaconcurrence.fr/fr/decision-de-controle-des-concentrations/relative-la-prise-de-controle-exclusif-de-la-societe-138</w:t>
      </w:r>
    </w:p>
    <w:p>
      <w:r>
        <w:t>Pages translated : 9</w:t>
      </w:r>
    </w:p>
    <w:p/>
    <w:p>
      <w:r>
        <w:rPr>
          <w:b/>
        </w:rPr>
        <w:t>[Pages 1–3]</w:t>
      </w:r>
    </w:p>
    <w:p>
      <w:r>
        <w:t xml:space="preserve">FRENCH REPUBLIC  </w:t>
        <w:br/>
        <w:t xml:space="preserve">Decision No. 15-DCC-83 of July 8, 2015  </w:t>
        <w:br/>
        <w:t>regarding the exclusive control of Desamais Distribution SA by Findis SAS</w:t>
      </w:r>
    </w:p>
    <w:p>
      <w:r>
        <w:t xml:space="preserve">The Competition Authority,  </w:t>
        <w:br/>
        <w:t xml:space="preserve">Having regard to the notification file submitted in full to the merger service on June 3, 2015, regarding the exclusive control of Desamais Distribution SA by Findis SAS, formalized by a transfer protocol dated June 26, 2015;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Findis SAS (hereinafter, "Findis") is the parent company of the Findis group. It is controlled by the investment fund Activa Capital Fund II, managed by Activa Capital, subject to fluctuating control by private individuals. Findis holds exclusive control over several subsidiaries active in the wholesale and retail distribution of household appliances and tableware, and operates five retail networks under the brands ProxiConfort, BlancBrun, Domial, Extra, and Cuisine Plaisir.  </w:t>
        <w:br/>
        <w:t xml:space="preserve">2. The Desamais Group (hereinafter, "Desamais") is over […] % owned by the company Sellenium and consists of the companies Desamais Distribution SA, CRIC SARL, and Home Boulevard SAS. Desamais is a wholesaler primarily active in the distribution of DIY-hardware and maintenance products, as well as small household appliances and tableware. CRIC SARL acts as a central purchasing body while Home Boulevard operates an online hardware store. Desamais also runs a network of independent stores under the Eureka brand.  </w:t>
        <w:br/>
        <w:t xml:space="preserve">3. Under the purchase promise countersigned on May 6, 2015, Findis will acquire 100% of the capital and voting rights of Desamais from the company Sellenium. In that it results in the exclusive control of Desamais by Findis, the notified operation constitutes a concentration within the meaning of Article L. 430-1 of the Commercial Code.  </w:t>
        <w:br/>
        <w:t>4. The companies concerned together achieve a total worldwide turnover excluding tax of more than 150 million euros (Activa Capital: [...] million euros for the fiscal year ending December 31, 2014; Desamais: [...] million euros for the same fiscal year). Each of these companies has achieved a turnover in France exceeding 50 million euros (Activa Capital: [...] million euros for the fiscal year ending December 31, 2014; Desamais: [...] million euros for the same fiscal year). Given these turnovers,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the relevant markets  </w:t>
        <w:br/>
        <w:t>5. The parties are present in different sectors of home equipment both upstream as buyers and downstream as distributors. Thus, Findis is present in the fields of small and large household appliances, image and sound, as well as tableware, while Desamais is primarily active in the sectors of DIY, maintenance/hardware, tableware, and small household appliances. The operation therefore entails an overlap of activities in the sector of household appliances as well as tableware.</w:t>
      </w:r>
    </w:p>
    <w:p>
      <w:r>
        <w:t xml:space="preserve">A. UPSTREAM MARKETS FOR THE SUPPLY OF HOUSEHOLD APPLIANCES AND TABLEWARE  </w:t>
        <w:br/>
        <w:t xml:space="preserve">6. Regarding the upstream supply markets, decision-making practice considers that "producers manufacture specific groups of products and are not technically able to easily convert to the manufacture of other products without significant costs." Thus, decision-making practice considers that at the level of supply for household appliances, there are as many markets as there are product families subject to negotiation, each distributor putting different suppliers in competition in each of the markets. Therefore, a distribution by product group has been considered the most relevant.  </w:t>
        <w:br/>
        <w:t xml:space="preserve">7. Based on the organization of the "purchasing" divisions of distributors, decision-making practice segments the market according to the following product groups: (i) furniture; (ii) bazaar-decoration; (iii) large household appliances; (iv) small household appliances; (v) cameras/cinema; (vi) hi-fi/sound devices; (vii) TV/video devices; (viii) computers/peripherals.  </w:t>
        <w:br/>
        <w:t xml:space="preserve">8. Furthermore, regarding the supply of tableware products, decision-making practice has considered a segmentation covering each of the relevant product families (cutlery, glassware, cooking/kitchen items, dishes, etc.), notably on the grounds that there are specialized suppliers for each product family.  </w:t>
        <w:br/>
        <w:t xml:space="preserve">9. Geographically, competition authorities consider that the supply markets are at least national in scope, if not European.  </w:t>
        <w:br/>
        <w:t xml:space="preserve">10. In this case, the parties are present as buyers in these markets and both source "small household appliances" and "tableware" products.  </w:t>
        <w:br/>
        <w:t>11. In any event, the exact definition of the upstream supply markets can be left open in that, regardless of the segmentation or geographical delimitation adopted, the conclusions of the competitive analysis will remain unchanged.</w:t>
      </w:r>
    </w:p>
    <w:p>
      <w:r>
        <w:t xml:space="preserve">B. DOWNSTREAM MARKETS FOR DISTRIBUTION  </w:t>
        <w:br/>
        <w:t xml:space="preserve">1. WHOLESALE MARKETS FOR HOUSEHOLD APPLIANCES  </w:t>
        <w:br/>
        <w:t xml:space="preserve">12. Decision-making practice has considered the existence of a wholesale market for household appliances, segmented according to the following product groups: (i) large household appliances; (ii) small household appliances; (iii) cameras/cinema; (iv) hi-fi/sound devices; (v) TV/video devices; (vi) computers/peripherals; and (vii) telephony. The activities of the parties overlap only in the small household appliances segment.  </w:t>
        <w:br/>
        <w:t>13. Furthermore, a segmentation of the markets according to distribution channels, distinguishing products sold (i) to hypermarkets ("GSA"), (ii) to specialized large stores ("GSS"), (iii) to local shops, and (iv) to retailers selling remotely has also been considered. In this case, the parties are primarily present in the wholesale segments of household appliances to local shops and GSAs.</w:t>
      </w:r>
    </w:p>
    <w:p>
      <w:r>
        <w:rPr>
          <w:b/>
        </w:rPr>
        <w:t>[Pages 4–6]</w:t>
      </w:r>
    </w:p>
    <w:p>
      <w:r>
        <w:t xml:space="preserve">14. Decision-making practice considers that wholesale distribution markets for household appliances are of national, or even regional, scope.  </w:t>
        <w:br/>
        <w:t xml:space="preserve">15. In this case, the parties, who are active throughout the national territory, consider that the markets for the products in question are of national scope. They note in particular that Findis has only one logistics structure from which it serves the territory within 48 hours, that transport costs are low, that commercial strategies are centralized, and that retailers' orders are placed throughout France remotely. They have thus provided estimates of market shares at the national level.  </w:t>
        <w:br/>
        <w:t xml:space="preserve">16. In the absence of competition concerns, the question of the exact definition of the wholesale distribution markets for household appliances can be left open.  </w:t>
        <w:br/>
        <w:t xml:space="preserve">2. WHOLESALE MARKETS FOR TABLEWARE PRODUCTS  </w:t>
        <w:br/>
        <w:t xml:space="preserve">17. Decision-making practice identifies a wholesale market for tableware products and has considered the possibility of segmenting this market according to product categories, notably distinguishing the following products: (i) glassware; (ii) tableware; (iii) cutlery; (iv) kitchen/cooking utensils. However, the parties' activities regarding tableware products are relatively marginal, and they have not been able to provide market share data for each of these product categories.  </w:t>
        <w:br/>
        <w:t xml:space="preserve">18. Furthermore, decision-making practice regarding tableware products identifies three main distribution channels, depending on whether the products are intended:  </w:t>
        <w:br/>
        <w:t xml:space="preserve">- for retailers, which include sales to hypermarkets and supermarkets ("GMS"), department stores, large specialty stores, specialty shops, traditional stores, or discount stores;  </w:t>
        <w:br/>
        <w:t xml:space="preserve">- for "horeco" channels, encompassing hotels, restaurants, and collective catering; and  </w:t>
        <w:br/>
        <w:t xml:space="preserve">- for "BtoB" channels, in cases where a company addresses a manufacturer or wholesaler to procure items for professional use not intended for resale, such as promotional items or loyalty programs.  </w:t>
        <w:br/>
        <w:t xml:space="preserve">The parties' activities in the operation only overlap in the segments of wholesale distribution of tableware products to retailers.  </w:t>
        <w:br/>
        <w:t xml:space="preserve">19. Regarding the wholesale distribution of tableware products to retailers, decision-making practice has made a distinction between wholesale distribution to GMS and wholesale distribution to specialty stores. It has indeed estimated that while the demand from independent specialty stores could be met by a local operator, the listing of wholesalers by GMS was conditioned by their ability to operate at the national level. In this case, the parties wholesale tableware products to both GMS and specialty stores.  </w:t>
        <w:br/>
        <w:t xml:space="preserve">20. Regarding the geographical dimension of the wholesale market for tableware products, decision-making practice identifies markets of national scope.  </w:t>
        <w:br/>
        <w:t xml:space="preserve">21. There is no need to challenge these boundaries in the context of the present operation.  </w:t>
        <w:br/>
        <w:t xml:space="preserve">3. RETAIL MARKETS FOR HOUSEHOLD APPLIANCES  </w:t>
        <w:br/>
        <w:t xml:space="preserve">22. Decision-making practice considers that retail markets for household appliances can be segmented by product family into white goods (kitchen and household appliances), brown goods (audio and video), and grey goods (computing and peripherals). It also considers that specialty stores face competition from hypermarkets and specialized hard-discount stores. Furthermore, it has noted that distance selling and in-store selling are more complementary than substitutable.  </w:t>
        <w:br/>
        <w:t xml:space="preserve">23. Geographically, competition authorities have estimated that retail markets for household appliances correspond to areas covered by a journey lasting 20 to 45 minutes, which consumers are willing to undertake to compare products and prices from one brand to another. This duration, however, varies depending on the size of the store and other characteristics specific to each area, such as geography, population density, or other stores located nearby. It is generally considered that the catchment area of a store can be limited to that which encompasses customers representing 80% of the store's turnover or 80% of the store's customers, depending on the available data.  </w:t>
        <w:br/>
        <w:t xml:space="preserve">24. Given that the target stores primarily offer DIY items, the notifying party believes that their catchment area should correspond to the narrowest area retained by decision-making practice for the analysis of local retail markets for DIY items. Decision-making practice indeed retains an area:  </w:t>
        <w:br/>
        <w:t xml:space="preserve">- of 15 to 20 minutes by car for medium-sized DIY stores (2,000 to 3,000 m²);  </w:t>
        <w:br/>
        <w:t xml:space="preserve">- of 30 minutes by car for larger retail outlets or those that are relatively larger compared to immediate competitors, or located near a particularly attractive hypermarket;  </w:t>
        <w:br/>
        <w:t xml:space="preserve">- and of 40 minutes by car for stores with a surface area exceeding 5,000 m².  </w:t>
        <w:br/>
        <w:t xml:space="preserve">25. In this case, the surface area of the store owned by Desamais being very small (100 m²), a catchment area of 15 to 20 minutes could be retained. However, the operation does not lead to any overlap of activities in this area. Therefore, in the absence of overlaps of activities in the retail markets for household appliances, these will only be taken into account for the analysis of vertical effects.  </w:t>
        <w:br/>
        <w:t xml:space="preserve">26. In any case, the exact delineation of geographical markets can be left open for the examination of the present operation, as the conclusions of the competitive analysis will remain unchanged, regardless of the boundaries adopted.  </w:t>
        <w:br/>
        <w:t xml:space="preserve">4. RETAIL MARKETS FOR TABLEWARE PRODUCTS  </w:t>
        <w:br/>
        <w:t xml:space="preserve">27. Regarding the distribution of non-food products, competition authorities traditionally distinguish as many markets as there are product families. Thus, national decision-making practice has identified a retail market for tableware products, distinguishing between physical sales and online sales.  </w:t>
        <w:br/>
        <w:t xml:space="preserve">28. The notifying party further considers that this market includes different distribution channels, namely both hypermarkets and specialty stores, as well as branded and unbranded local stores.  </w:t>
        <w:br/>
        <w:t xml:space="preserve">29. The conclusions of the competitive analysis remaining unchanged regardless of the hypothesis retained, the exact delineation of the downstream market for tableware products can, however, be left open.  </w:t>
        <w:br/>
        <w:t xml:space="preserve">30. Geographically, competition authorities have not commented on the retail markets for tableware products in physical stores.  </w:t>
        <w:br/>
        <w:t xml:space="preserve">31. In this case, for the reasons previously mentioned regarding the nature of the products marketed by the target stores, the notifying party proposes to retain a catchment area of 15 minutes around the target store. However, this question can be left open in the absence of competition concerns.  </w:t>
        <w:br/>
        <w:t xml:space="preserve">32. In this case, given the surface area of the target store, the operation does not lead to any overlap of activities in the retail markets for tableware products, which will therefore only be taken into account for the analysis of vertical effects.  </w:t>
        <w:br/>
        <w:t xml:space="preserve">III. Competitive Analysis  </w:t>
        <w:br/>
        <w:t xml:space="preserve">A. ANALYSIS OF HORIZONTAL EFFECTS  </w:t>
        <w:br/>
        <w:t xml:space="preserve">1. UPSTREAM MARKETS FOR SUPPLYING HOUSEHOLD APPLIANCES AND TABLEWARE PRODUCTS  </w:t>
        <w:br/>
        <w:t xml:space="preserve">33. Regarding the supply markets, it appears from the data provided by the notifying party that following the operation, the purchases of the new entity in household appliances will represent [5-10]% of the national market in the small household appliances segment.  </w:t>
        <w:br/>
        <w:t>34. The notifying party has not been able to precisely estimate the share represented by the purchases of the parties in each of the segments of the supply market for tableware products.</w:t>
      </w:r>
    </w:p>
    <w:p>
      <w:r>
        <w:rPr>
          <w:b/>
        </w:rPr>
        <w:t>[Pages 7–9]</w:t>
      </w:r>
    </w:p>
    <w:p>
      <w:r>
        <w:t xml:space="preserve">tableware products, but estimated the share of purchases of the new entity in this market at [0-5]%, across all segments, at the national level. It further considers that, even when considering each of the product families of tableware (dinnerware, glassware, cutlery, cooking articles and kitchen utensils, table linen or decoration) in isolation, the purchase shares of the new entity will not exceed [10-20]% at the national level.  </w:t>
        <w:br/>
        <w:t xml:space="preserve">35. Consequently, the operation is not likely to raise competition concerns in the relevant upstream markets.  </w:t>
        <w:br/>
        <w:t xml:space="preserve">2. DOWNSTREAM MARKETS FOR WHOLESALE DISTRIBUTION OF HOUSEHOLD APPLIANCES  </w:t>
        <w:br/>
        <w:t xml:space="preserve">36. In a national market for wholesale distribution of household appliances to all retailers, the market share of the new entity will rise, following the operation, to [5-10]% (Findis: [5-10]%; Desamais: [0-5]%). This market share will rise to [10-20]% if only the market for wholesale distribution to local commerce is considered (Findis: [10-20]%; Desamais: [0-5]%) and to [0-5]% in the wholesale distribution market to large retailers (Findis: [0-5]%; Desamais: [0-5]%).  </w:t>
        <w:br/>
        <w:t xml:space="preserve">37. Furthermore, the parties will continue to face competition from a very large number of operators including GPDIS (5-10%), Concerto (5-10%), Laugier (5-10%), and Gitem (0-5%).  </w:t>
        <w:br/>
        <w:t xml:space="preserve">38. Due to the limited market share of the parties, the highly fragmented nature of the relevant markets, and the low increment in market share, the operation is not likely to harm competition in the wholesale distribution market for household appliances.  </w:t>
        <w:br/>
        <w:t xml:space="preserve">3. DOWNSTREAM MARKETS FOR WHOLESALE DISTRIBUTION OF TABLEWARE PRODUCTS  </w:t>
        <w:br/>
        <w:t xml:space="preserve">39. In a national market for wholesale distribution of tableware products to all retailers, the position of the new entity following the operation will be [0-5]% (Findis: [0-5]%, Desamais: [0-5]%). This market share will rise to [0-5]% if only the market for wholesale distribution of tableware products to local commerce is considered (Findis: [0-5]%; Desamais: [0-5]%) and to [0-5]% in the wholesale distribution market to large retailers (Findis: [0-5]%; Desamais: [0-5]%).  </w:t>
        <w:br/>
        <w:t xml:space="preserve">40. The parties further estimate that their combined market share does not exceed [10-20]%, assuming segmentation by product family (glassware, dinnerware, cutlery, kitchen utensils, etc.) regardless of the distribution channel considered.  </w:t>
        <w:br/>
        <w:t xml:space="preserve">41. In these markets, the parties will continue to face, following the operation, competition from numerous players such as Artmadis (15-20%), Lebrun (5-10%), Barbier (5-10%), and Baumalu (5-10%).  </w:t>
        <w:br/>
        <w:t xml:space="preserve">42. The operation is therefore not likely to harm competition in the wholesale distribution market for tableware products.  </w:t>
        <w:br/>
        <w:t>7</w:t>
      </w:r>
    </w:p>
    <w:p>
      <w:r>
        <w:t xml:space="preserve">B. ANALYSIS OF VERTICAL EFFECTS  </w:t>
        <w:br/>
        <w:t xml:space="preserve">1. METHODOLOGICAL POINT  </w:t>
        <w:br/>
        <w:t xml:space="preserve">43. The Authority and the Council of State have recalled that the market power of a distributor must be assessed taking into account both the stores owned outright and those operated in a network, regardless of their legal status, as long as their commercial policy is not sufficiently autonomous from the head of the network. It is therefore necessary to determine whether the franchised and concessionaire distributors of the Euréka network should be linked to the distribution activities of the target for the purposes of competitive analysis.  </w:t>
        <w:br/>
        <w:t xml:space="preserve">44. The Authority has notably considered that the following criteria allow inferring the lack of autonomy of the members of a network: (i) the possibility for the head of the network to set maximum prices for its members affecting the member's freedom to set its prices independently, (ii) the supply obligations of members to procure a significant portion of their purchases from the group, (iii) the obligation to respect preemption, substitution, and preference clauses in favor of the group in the event of the sale of their store outside the family perimeter, (iv) the obligation to participate in a certain number of promotional operations per year, during which members must sell the products at the prices indicated in the advertising materials, (v) the obligation to reference more than 50% of the product lines of the head of the network, (vi) the more or less long duration of the contracts.  </w:t>
        <w:br/>
        <w:t xml:space="preserve">45. In this case, the analysis of the standard contracts concluded between Desamais and the distributors confirms that the stores of the Euréka network should not be integrated with those of the acquirer for the purpose of assessing its market power following the operation. Indeed, these contracts do not grant Desamais the ability to set maximum prices for the members of the network, nor impose any supply or even referencing obligations on them. Similarly, the contracts do not provide for any preemption, preference, or substitution rights in favor of Desamais, and the members are not subject to any obligation to participate in promotional operations. The contracts are concluded for a duration of 3 years, and leaving the network is not subject to any non-compete or indemnification obligations on the part of the member.  </w:t>
        <w:br/>
        <w:t xml:space="preserve">2. COMPETITIVE ANALYSIS  </w:t>
        <w:br/>
        <w:t xml:space="preserve">46. A vertical concentration can restrict competition by making access to the markets in which the new entity will be active more difficult, or even potentially excluding competitors or penalizing them by increasing their costs. This lock-in can target downstream markets when the integrated company refuses to sell an input to its downstream competitors. The lock-in strategy can also concern upstream markets when the downstream branch of the integrated company refuses to purchase products from upstream manufacturers, thereby reducing their commercial outlets. The decision-making practice of competition authorities generally dismisses these lock-in risks when the share of the company resulting from the operation in the relevant markets does not exceed 30%.  </w:t>
        <w:br/>
        <w:t xml:space="preserve">47. In this case, the activities of the parties are vertically linked, as they are active in both the wholesale distribution markets to retailers and in retail markets.  </w:t>
        <w:br/>
        <w:t>8</w:t>
      </w:r>
    </w:p>
    <w:p>
      <w:r>
        <w:t xml:space="preserve">48. However, since their market shares do not exceed [10-20]%, both in the upstream wholesale distribution markets and in the downstream retail markets, the operation is not likely to harm competition through vertical effects.  </w:t>
        <w:br/>
        <w:t xml:space="preserve">DECIDES  </w:t>
        <w:br/>
        <w:t xml:space="preserve">Single Article: The operation notified under number 15-071 is authorized.  </w:t>
        <w:br/>
        <w:t xml:space="preserve">The President,  </w:t>
        <w:br/>
        <w:t xml:space="preserve">Bruno Lasserre  </w:t>
        <w:br/>
        <w:t xml:space="preserve">© Competition Authority  </w:t>
        <w:br/>
        <w:t>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