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https://www.autoritedelaconcurrence.fr/fr/decision-de-controle-des-concentrations/relative-la-prise-de-controle-exclusif-de-la-societe-139</w:t>
      </w:r>
    </w:p>
    <w:p>
      <w:r>
        <w:t>Pages translated : 9</w:t>
      </w:r>
    </w:p>
    <w:p/>
    <w:p>
      <w:r>
        <w:rPr>
          <w:b/>
        </w:rPr>
        <w:t>[Pages 1–3]</w:t>
      </w:r>
    </w:p>
    <w:p>
      <w:r>
        <w:t>FRENCH REPUBLIC</w:t>
        <w:br/>
        <w:t>Decision No. 15-DCC-88 of July 8, 2015</w:t>
        <w:br/>
        <w:t>regarding the exclusive control of the company Alençon Pneus by</w:t>
        <w:br/>
        <w:t>the company Continental Holding France</w:t>
        <w:br/>
        <w:t>The Competition Authority,</w:t>
        <w:br/>
        <w:t>Having regard to the notification file submitted in full to the merger service on June 4, 2015,</w:t>
        <w:br/>
        <w:t>regarding the exclusive control of the company Alençon Pneus by the company Continental</w:t>
        <w:br/>
        <w:t>Holding France, formalized by two unilateral purchase promises dated June 1, 2015;</w:t>
        <w:br/>
        <w:t>Having regard to Book IV of the Commercial Code relating to price freedom and competition, and</w:t>
        <w:br/>
        <w:t>in particular its Articles L. 430-1 to L. 430-7;</w:t>
        <w:br/>
        <w:t>Having regard to the supplementary elements transmitted by the parties during the investigation;</w:t>
        <w:br/>
        <w:t>Adopts the following decision:</w:t>
        <w:br/>
        <w:t>I. The concerned companies and the operation</w:t>
        <w:br/>
        <w:t>1. The German group Continental, controlled by the parent company Continental AG, is active in the</w:t>
        <w:br/>
        <w:t>manufacturing, sale, and distribution of original equipment and replacement tires, brakes for</w:t>
        <w:br/>
        <w:t>automobiles and utility vehicles, various components for cars, and embedded electronics. Continental is a publicly traded group, whose main shareholder is the company Schaeffler, which is itself indirectly controlled by Maria Elisabeth Schaeffler, with 46% of the voting rights, the remainder of the capital being floating. Continental Holding France (hereinafter "Continental HF") is a simplified joint-stock company, wholly owned subsidiary of Continental AG.</w:t>
        <w:br/>
        <w:t>2. In France, the Continental group operates 179 points of sale, under the brands BestDrive,</w:t>
        <w:br/>
        <w:t>ContiTrade Nord Est (formerly DK), Leclerc Pneus, and Massa Pneus. Continental has also held the Eurotyre brand since 2010, licensed to ContiClub SAS, a subsidiary of Continental HF. The Eurotyre network, comprising independent tire specialist dealers, had 172 points of sale in France as of April 2014.</w:t>
        <w:br/>
        <w:t>3. Alençon Pneus is a simplified joint-stock company active in the distribution and repair of tires. Alençon Pneus operates 43 stores, under the trade name Super Pneus, and is affiliated with the BestDrive brand. Alençon Pneus is jointly owned by Continental HF at 49.91% and by the Société Normande de Développement et de Financement1 (hereinafter "SNDF") at 50.09%2.</w:t>
        <w:br/>
        <w:t>4. The operation consists of the acquisition by Continental HF of SNDF's stake in the capital of Alençon Pneus. Upon completion of the notified operation, Continental HF will thus hold 100% of the capital and voting rights of Alençon Pneus. As it results in the exclusive control of Alençon Pneus by Continental HF, the notified operation constitutes a concentration within the meaning of Article L. 430-1 of the Commercial Code.</w:t>
        <w:br/>
        <w:t>5. The companies concerned together achieve a total worldwide turnover of more than 150 million euros (Continental Group: 34.5 billion euros for the fiscal year ending December 31, 2014; Alençon Pneus: […] million euros for the fiscal year ending December 31, 2014). Each achieves, in France, a turnover exceeding 50 million euros (Continental Group: […] billion euros for the fiscal year ending December 31, 2014; Alençon Pneus: […] million euros for the fiscal year ending December 31, 2014). Given these turnover figures, the operation does not fall under the jurisdiction of the European Union. However, the thresholds mentioned in I of Article L. 430-2 of the Commercial Code are exceeded. This operation is therefore subject to the provisions of Article L. 430-3 and subsequent articles of the Commercial Code relating to economic concentration.</w:t>
        <w:br/>
        <w:t>II. Definition of the relevant markets</w:t>
        <w:br/>
        <w:t>6. Continental and Alençon Pneus are simultaneously active in the downstream markets for the distribution of new replacement tires, retreaded tires, spare parts and automotive accessories, and vehicle maintenance and repair services. Furthermore, Continental is also active in the upstream market for the manufacturing and sale of replacement tires.</w:t>
        <w:br/>
        <w:t>1. THE DOWNSTREAM MARKETS FOR THE DISTRIBUTION OF REPLACEMENT TIRES</w:t>
        <w:br/>
        <w:t>a) Definition by products</w:t>
        <w:br/>
        <w:t>7. Regarding the distribution of tires, the decision-making practice distinguishes3 the supply of original equipment tires (also known as "first fit") from that of replacement tires. Indeed, although these products are identical, they are not intended for the same people and are distributed through the same channels. "First fit" tires correspond to tires placed on new vehicles, generally sold directly by producers to automobile manufacturers. In contrast, replacement tires concern purchases made by vehicle users, with sales to the end consumer primarily occurring through a large number of specialized companies.</w:t>
        <w:br/>
        <w:t>8. Within replacement tires, decision-making practice distinguishes several markets according to the types of vehicles ((i) passenger vehicles and vans, (ii) trucks and buses, (iii) agricultural machinery, (iv) construction and civil engineering machinery, (v) non-motorized two-wheelers, and (vi) motorized two-wheelers), tires, and distribution methods. For example, the distribution of tires for passenger vehicles and vans can occur through (i) the channel of specialized dealers (such as Euromaster, Vulco, First Stop, Point S, Profil Plus, or Eurotyre), (ii) the channel of auto centers (such as Norauto, Feu Vert, Speedy), and (iii) the channel of dealers and automotive garages. The market test confirmed these segmentations and the substitutability of these different channels for the purchase of tires.</w:t>
        <w:br/>
        <w:t>9. Alongside these traditional channels, online sales are developing, either through the websites of traditional distributors or through pure players, active only online, such as Allopneus, 1001pneus, or 123pneus. These sites allow consumers to purchase their tire models online and have them delivered directly to an approved mounting location (garage, auto center, etc.). The Authority has considered4, while leaving the question open, distinguishing a market for tire sales on the Internet.</w:t>
        <w:br/>
        <w:t>10. In contrast, in France, specialized trading is almost the only distribution channel for tires intended for industrial vehicles.</w:t>
        <w:br/>
        <w:t>11. Finally, decision-making practice5 has considered that the markets (i) for new replacement tires and (ii) for retreaded tires constitute two distinct relevant markets. Indeed, replacement tires are not necessarily new: when the casings of used tires are still in good condition, it is possible to equip them with a new tread, a process known as retreading. The retreading market thus presents itself as an after-sales service market in relation to the new tire market. The European Commission has thus emphasized that "the retreading operation results precisely from the desire to extend the life of a tire in order to defer the purchase of a new tire, it is excluded that genuine competition exists between retreading and the purchase of a new tire"6. In practice, the needs for retreading concern almost exclusively tires for heavy vehicles. Retreading can be carried out by tire manufacturers themselves, but also by a large number of specialized companies.</w:t>
        <w:br/>
        <w:t>12. The European Commission7 has also considered, while leaving the question open, the possibility of distinguishing retreaded tires according to the retreading technique. There are</w:t>
        <w:br/>
        <w:t>4 See decision No. 10-DCC-149 cited above; see also decision No. 15-DCC-76 of June 30, 2015, regarding the joint control of the company Allopneus by the Michelin group and the company Hevea.</w:t>
        <w:br/>
        <w:t>5 See in particular the decisions of the European Commission No. COMP/M.4516 cited above and No. COMP/M.4564 Bridgestone/Bandag of May 29, 2007, as well as the decision of the Competition Authority No. 11-DCC-75 cited above.</w:t>
        <w:br/>
        <w:t>6 See the decision of the European Commission No. COMP/E-2/36.041 PO - Michelin of June 20, 2001, regarding a procedure for the application of Article 82 of the EC Treaty.</w:t>
        <w:br/>
        <w:t>7 See decision No. COMP/M.4564 cited above.</w:t>
      </w:r>
    </w:p>
    <w:p>
      <w:r>
        <w:rPr>
          <w:b/>
        </w:rPr>
        <w:t>[Pages 4–6]</w:t>
      </w:r>
    </w:p>
    <w:p>
      <w:r>
        <w:t>29</w:t>
        <w:br/>
        <w:t>May 2007 as well as the decision of the Competition Authority No. 11-DCC-75 mentioned above.</w:t>
        <w:br/>
        <w:t>6 See the decision of the European Commission No. COMP/E-2/36.041 PO - Michelin dated June 20, 2001 concerning a procedure for the application of Article 82 of the EC Treaty.</w:t>
        <w:br/>
        <w:t>7 See the decision No. COMP/M.4564 mentioned above.</w:t>
        <w:br/>
        <w:t>3</w:t>
      </w:r>
    </w:p>
    <w:p>
      <w:r>
        <w:t>indeed two techniques: the hot retreading process (which involves applying a new tread to the tire carcass, which is then molded in the factory and at high temperature) and the cold retreading process (which involves applying a pre-molded tread, sourced from an external supplier, to the tire carcass).</w:t>
        <w:br/>
        <w:t>13. In this case, there is no need to rule on the distinction between cold retreaded tires and hot retreaded tires, as the conclusions of the competitive analysis remain unchanged.</w:t>
        <w:br/>
        <w:t>14. The parties' activities overlap in the markets for the sale to end consumers of replacement tires for passenger vehicles and vans, for trucks and buses, for agricultural machinery, for construction and civil engineering machinery, for motorized two-wheel vehicles, and for retreaded tires.</w:t>
        <w:br/>
        <w:t>b) Geographic delimitation</w:t>
        <w:br/>
        <w:t>15. Regarding the markets for the distribution of replacement tires for the various types of vehicles and retreaded tires, the decisional practice8, while leaving the question open, has considered markets of national dimension. However, the Competition Authority has also considered a local dimension of this market, while leaving the question open9.</w:t>
        <w:br/>
        <w:t>16. In this case, the analysis will therefore be conducted at both the national and departmental levels. There is no need to rule on the exact delimitation of the market, as the conclusions of the competitive analysis remain unchanged.</w:t>
        <w:br/>
        <w:t>2. THE UPSTREAM MARKETS OF MANUFACTURING AND WHOLESALE DISTRIBUTION OF REPLACEMENT TIRES</w:t>
        <w:br/>
        <w:t>17. The decisional practice10 has considered that the market for the manufacturing of replacement tires could be subdivided based on the categories of vehicles concerned, as indicated above.</w:t>
        <w:br/>
        <w:t>18. The Commission considers that this market is of national dimension11 but has left this question open. The notifying party believes that this market is at least of national dimension. In this case, the analysis will be conducted at the national level, the most conservative hypothesis. However, there is no need to rule on the exact delimitation of the upstream geographic market, as the conclusions of the competitive analysis remain unchanged regardless of the segmentation considered.</w:t>
        <w:br/>
        <w:t>8 See in particular decisions No. COMP/M.3081 and COMP/M.451 mentioned above.</w:t>
        <w:br/>
        <w:t>9 See the decision of the Competition Authority No. 14-DCC-90 mentioned above.</w:t>
        <w:br/>
        <w:t>10 See the aforementioned decisions.</w:t>
        <w:br/>
        <w:t>11 See the aforementioned decisions.</w:t>
        <w:br/>
        <w:t>4</w:t>
      </w:r>
    </w:p>
    <w:p>
      <w:r>
        <w:t>3. THE MARKETS FOR THE DISTRIBUTION OF AUTOMOTIVE SPARE PARTS AND ACCESSORIES AND THE DISTRIBUTION OF MAINTENANCE AND REPAIR SERVICES FOR AUTOMOTIVE VEHICLES</w:t>
        <w:br/>
        <w:t>19. In the automotive distribution sector, the decisional practice12 notably distinguishes: (i) the distribution of automotive spare parts and accessories; and (ii) the distribution of maintenance and repair services for automotive vehicles. The decisional practice adopts a local definition of these markets, with the analysis generally conducted at the departmental level.</w:t>
        <w:br/>
        <w:t>III. Competitive analysis</w:t>
        <w:br/>
        <w:t>1. HORIZONTAL EFFECTS</w:t>
        <w:br/>
        <w:t>a) Downstream markets for the distribution of replacement tires</w:t>
        <w:br/>
        <w:t>20. In the downstream markets for the distribution of replacement tires, Alençon Pneus is active through a network of 43 points of sale under the trade name Super Pneus, affiliated with the BestDrive brand, and located in the northwest quarter of France. For its part, Continental operates 179 points of sale under the Best Drive brand. The Authority recalled in its decisions No. 11-DCC-75, 13-DCC-148, and 14-DCC-90 that, insofar as Continental only offers members of the Eurotyre network a brand promotion service and a central purchasing service, the Eurotyre network is not taken into account in the competitive analysis13.</w:t>
        <w:br/>
        <w:t>12 See in particular the decisions of the Competition Authority No. 09-DCC-01 of April 8, 2009 concerning the acquisition of Pellier Metz S.A.S. by the Bailly S.A.S. group; No. 10-DCC-23 of March 1, 2010 concerning the exclusive control of Evry Corbeil Automobiles and Vétille Automobiles by Priod Holding (Priod group); No. 10-DCC-162 of November 29, 2010 concerning the acquisition of the business assets of Auto Losange by David Gerbier Finances; and No. 10-DCC-192 of December 16, 2010 concerning the acquisition of Catar SA by Vincent SA.</w:t>
        <w:br/>
        <w:t>13 Eurotyre brings together independent dealers specializing in tires, and the network currently has 172 points of sale in France. These 172 points of sale are operated by independent merchants who are fully autonomous in defining their commercial policy. Continental has no stake, even minority, in the capital of the members of the network. Continental is only linked to the independents by a brand licensing agreement concluded for a fixed term of three years. Since 2013, the licensing agreement has been tacitly renewable with the possibility of termination in the six months preceding the end of the contract. This brand licensing agreement only grants the independents the right to use the brand as a sign and to benefit from the inherent advantages of the network; it does not involve any transfer of know-how, commercial methods, or other elements foreign to the simple use of the brand as a sign. The members of the network are completely free to determine their resale prices. Regarding supply, the members of the network source non-exclusively from the Continental group. Nevertheless, they commit to purchasing at least […]% of their new tire purchases for passenger vehicles, vans, and 4x4s from the brands of the Continental Group. Furthermore, the members of the network commit to purchasing at least […]% of their purchases from the brands and products selected by ContiClub. In this regard, they make part of their purchases from suppliers referenced by ContiClub (including competing suppliers of Continental). ContiClub acts as a simple central purchasing body and negotiates with various suppliers to provide the members of the Eurotyre network with advantageous commercial conditions. ContiClub does not make tire purchases; each manufacturer invoices directly the member who placed the order. For the establishment and communication of the referencing to the members, a fee is granted to ContiClub (concerning tires, this fee varies between […] and […]% of the member's turnover). Outside of purchases from referenced suppliers (across all brands), the member is completely free to make purchases from suppliers of their choice.</w:t>
        <w:br/>
        <w:t>5</w:t>
      </w:r>
    </w:p>
    <w:p>
      <w:r>
        <w:t>21. The combined market shares of the parties at the national level are as follows:</w:t>
        <w:br/>
        <w:t>Types of</w:t>
        <w:br/>
        <w:t>replacement tires Continental Alençon Tires Cumulative</w:t>
        <w:br/>
        <w:t>Passenger car and</w:t>
        <w:br/>
        <w:t>light truck tires [0-5]% [0-5]% [5-10]%</w:t>
        <w:br/>
        <w:t>Truck and bus tires [10-20]% [0-5]% [10-20]%</w:t>
        <w:br/>
        <w:t>Agricultural machinery tires [10-20]% [0-5]% [10-20]%</w:t>
        <w:br/>
        <w:t>Construction and civil</w:t>
        <w:br/>
        <w:t>engineering machinery tires [10-20]% [0-5]% [20-30]%</w:t>
        <w:br/>
        <w:t>Motorized two-wheel</w:t>
        <w:br/>
        <w:t>vehicle tires [0-5]% [0-5]% [0-5]%</w:t>
      </w:r>
    </w:p>
    <w:p>
      <w:r>
        <w:t>22. The parties will thus represent less than 25% of all the relevant markets at the national level. Furthermore, the parties face the presence of numerous credible and powerful competitors such as notably Euromaster (Michelin), Vulco (Goodyear Dunlop), First Stop Metifiot (Bridgestone), or 123pneus.</w:t>
        <w:br/>
        <w:t>23. Furthermore, the operation only concerns 43 points of sale out of the 32,796 points of sale for tire distribution recorded in France (across all distribution channels). Some of the parties' competitors have networks in France that are larger than that of the parties, such as the Vulco network (Goodyear Dunlop) which includes 250 points of sale, the Euromaster network (Michelin) which includes 400 points of sale, the First Stop Métifiot network (Bridgestone) which includes 301 points of sale, the Point S network which includes 420 points of sale in France, or the Siligom network which has 172 points of sale. The Authority has also previously highlighted14 the competition exerted, mainly for passenger vehicle and van tires, through the distribution channel of auto centers such as Norauto (338 centers in France), Feu vert (309 centers in France), or Speedy (473 centers in France), as well as through the channel of car dealerships and garages (approximately 30,00015).</w:t>
        <w:br/>
        <w:t>14 See in particular opinion No. 09-A-12 mentioned above and the decision of the Competition Authority No. 10-D-27 of September 15, 2010 concerning practices implemented by the companies Manufacture française des pneumatiques Michelin and Pneumatiques Kléber.</w:t>
        <w:br/>
        <w:t>15 Source: Xerfi study "The market for automotive replacement and maintenance," June 2014 and GIPA (Interprofessional Group of the Automobile).</w:t>
      </w:r>
    </w:p>
    <w:p>
      <w:r>
        <w:rPr>
          <w:b/>
        </w:rPr>
        <w:t>[Pages 7–9]</w:t>
      </w:r>
    </w:p>
    <w:p>
      <w:r>
        <w:t>24. In the event of a local dimension of these markets, the developments below concerning the market for the distribution of spare parts and automotive accessories and the distribution of maintenance and repair services are transposable to the markets for the distribution of replacement tires.</w:t>
      </w:r>
    </w:p>
    <w:p>
      <w:r>
        <w:t>25. Consequently, the transaction is not likely to harm competition through horizontal effects in the markets for the distribution to end users of replacement tires.</w:t>
      </w:r>
    </w:p>
    <w:p>
      <w:r>
        <w:t>b) Downstream retreading market</w:t>
      </w:r>
    </w:p>
    <w:p>
      <w:r>
        <w:t>26. In the downstream retreading market, estimated in 2014 at 820,362 retreaded tires16, the Continental group has a market share of […]% and Alençon Pneus has a market share of […]%. The combined market share of the Continental group and Alençon Pneus is therefore […]%. Furthermore, the parties will face the presence of numerous credible and powerful competitors such as notably Euromaster (Michelin), Vulco (Goodyear Dunlop), or First Stop Metifiot (Bridgestone).</w:t>
      </w:r>
    </w:p>
    <w:p>
      <w:r>
        <w:t>27. Consequently, the transaction is not likely to harm competition through horizontal effects in the markets for the distribution to end users of retreaded tires.</w:t>
      </w:r>
    </w:p>
    <w:p>
      <w:r>
        <w:t>c) Downstream markets for the distribution of spare parts and automotive accessories and for the distribution of maintenance and repair services for motor vehicles</w:t>
      </w:r>
    </w:p>
    <w:p>
      <w:r>
        <w:t>28. The notifying party indicates that distributors primarily engaged in the marketing of tires also offer associated services (mounting, balancing, alignment, repair and retreading of tires, etc.).</w:t>
      </w:r>
    </w:p>
    <w:p>
      <w:r>
        <w:t>29. At the departmental level, the transaction presents overlaps in three departments: Calvados (one point of sale of the Continental group and two points of sale of Alençon Pneus), Cher (two points of sale of the Continental group and two points of sale of Alençon Pneus), and Seine-Maritime (two points of sale of the Continental group and five points of sale of Alençon Pneus).</w:t>
      </w:r>
    </w:p>
    <w:p>
      <w:r>
        <w:t>30. The notifying party indicates that it is unable to calculate the market shares of the various points of sale in such restricted areas. However, the number of points of sale of the new entity will be limited in each department following the transaction, and it will face competition from numerous points of sale operated by large specialist brands (notably Point S, Euromaster, Siligom, and Vulco), as well as from auto centers (Norauto, Feu Vert, Speedy), dealers, and automotive garages.</w:t>
      </w:r>
    </w:p>
    <w:p>
      <w:r>
        <w:t>31. Consequently, the transaction is not likely to harm competition through horizontal effects in the markets for the distribution of spare parts and automotive accessories and for the distribution of maintenance and repair services for motor vehicles.</w:t>
      </w:r>
    </w:p>
    <w:p>
      <w:r>
        <w:t>16 Source: ETRMA (European Tyre &amp; Rubber Manufacturers’ Association).</w:t>
      </w:r>
    </w:p>
    <w:p>
      <w:r>
        <w:t>2. VERTICAL EFFECTS</w:t>
      </w:r>
    </w:p>
    <w:p>
      <w:r>
        <w:t>32. A vertical concentration can restrict access to competition by making it more difficult to access the markets in which the new entity will be active, potentially excluding competitors or penalizing them by increasing their costs. This locking can target downstream markets when the integrated company refuses to sell an input to its downstream competitors. The locking strategy can also concern upstream markets when the downstream branch of the integrated company refuses to purchase products from upstream manufacturers, thereby reducing their commercial outlets. The Competition Authority considers that it is unlikely that a company with a market share of less than 30% in a given market could lock a downstream or upstream market.</w:t>
      </w:r>
    </w:p>
    <w:p>
      <w:r>
        <w:t>33. In this case, Continental supplies third-party distributors, and it is therefore necessary to examine the potential vertical effects resulting from the transaction.</w:t>
      </w:r>
    </w:p>
    <w:p>
      <w:r>
        <w:t>34. In the upstream market for the manufacture of replacement tires, Continental estimates that in 2014, taking into account all distribution networks present in France, it holds a market share of [10-20]% for tires intended for passenger vehicles and vans, [10-20]% for trucks and buses, less than [0-5]% for agricultural machinery, less than [0-5]% for motorized two-wheelers, less than 1% for public works and civil engineering machinery, and less than [0-5]% for non-motorized two-wheelers. In the downstream distribution markets, the market shares indicated above are also significantly below 30%, regardless of the market concerned.</w:t>
      </w:r>
    </w:p>
    <w:p>
      <w:r>
        <w:t>35. Furthermore, the notifying party emphasizes that Continental has a multi-brand commercial policy and distributes tires from different manufacturers in its points of sale. Any strategy by Continental to market its own products exclusively through its points of sale would therefore lead to a very significant shift of customers to other distributors. The impact of such a strategy would, in any case, be relatively low, given the limited number of points of sale owned by Continental following the transaction compared to the total number of points of sale recorded in France.</w:t>
      </w:r>
    </w:p>
    <w:p>
      <w:r>
        <w:t>36. It follows from these elements that Continental would have neither the capacity nor the incentives to lock its manufacturing competitors out of its distributors, and that such a locking strategy would not have significant effects on the downstream markets for tire distribution in France.</w:t>
      </w:r>
    </w:p>
    <w:p>
      <w:r>
        <w:t>37. Consequently, the transaction is not likely to harm competition through vertical effects.</w:t>
      </w:r>
    </w:p>
    <w:p>
      <w:r>
        <w:t>DECIDES</w:t>
      </w:r>
    </w:p>
    <w:p>
      <w:r>
        <w:t>Sole Article: The transaction notified under number 15-093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