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https://www.autoritedelaconcurrence.fr/fr/decision-de-controle-des-concentrations/relative-la-prise-de-controle-exclusif-de-la-societe-140</w:t>
      </w:r>
    </w:p>
    <w:p>
      <w:r>
        <w:t>Pages translated : 8</w:t>
      </w:r>
    </w:p>
    <w:p/>
    <w:p>
      <w:r>
        <w:rPr>
          <w:b/>
        </w:rPr>
        <w:t>[Pages 1–3]</w:t>
      </w:r>
    </w:p>
    <w:p>
      <w:r>
        <w:t xml:space="preserve">FRENCH REPUBLIC  </w:t>
        <w:br/>
        <w:t xml:space="preserve">Decision No. 15-DCC-95 of July 15, 2015  </w:t>
        <w:br/>
        <w:t xml:space="preserve">regarding the exclusive control of Société Financière JPC by  </w:t>
        <w:br/>
        <w:t>Société Financière CLC</w:t>
      </w:r>
    </w:p>
    <w:p>
      <w:r>
        <w:t xml:space="preserve">The Competition Authority,  </w:t>
        <w:br/>
        <w:t xml:space="preserve">Having regard to the notification file submitted in full to the merger service on June 12, 2015,  </w:t>
        <w:br/>
        <w:t xml:space="preserve">regarding the exclusive control of Société Financière JPC by Société Financière CLC, formalized by a transfer agreement signed on April 29, 2015;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Société Financière CLC is a simplified joint-stock company that holds 100% of the capital of twelve companies operating as many recreational vehicle (hereinafter "RV") dealerships in France, mainly in the northeast. It distributes vehicles from the manufacturers or importers Bürstner, Trigano, Società Europea Autocaravan, Fleurette, Euramobil, Autostar, Caravalair, Pilote Sterckman, and Socanor. It is 100% owned by the limited liability company Financière Nicolas Clasadonte, which is itself controlled by Mr. Julien Clasadonte, who also controls several real estate civil companies as well as the company Star Mobil Services (hereinafter, "SMS") active in the technical assistance sector for motorhomes (hereinafter, "camping-cars").  </w:t>
        <w:br/>
        <w:t xml:space="preserve">2. Société Financière JPC is a simplified joint-stock company that holds 100% of the capital of the companies Ypo Camp Loisirs 71, Ypo Camp Jeanniot Bourgogne, and Ypo Camp Jeanniot Loisirs, operating a total of four RV dealerships in the northeast of France. It distributes vehicles from the manufacturers Trigano, Rapido, and Societa Europea Autocaravan. Société Financière JPC is controlled by Mr. Patrick Jeanniot.  </w:t>
        <w:br/>
        <w:t xml:space="preserve">3. The notified operation, formalized by a letter of intent dated March 3, 2015, and a share acquisition agreement dated April 29, 2015, consists of the acquisition of 100% of the capital of Société Financière JPC and its subsidiaries by Société Financière CLC. As it results in the exclusive control of the target by Société Financière CLC, the operation constitutes a concentration within the meaning of Article L. 430-1 of the Commercial Code.  </w:t>
        <w:br/>
        <w:t>4. The companies concerned together achieve a total worldwide turnover excluding tax of more than 75 million euros (group controlled by Mr. Clasadonte: [...] euros for the fiscal year ending September 30, 2014; Société Financière JPC: [...] euros for the fiscal year ending September 30, 2014). At least two of these companies achieve in France a turnover exceeding 15 million euros in the retail sector (group controlled by Mr. Clasadonte: [...] euros for the fiscal year ending September 30, 2014; Société Financière JPC: [...] euros for the fiscal year ending September 30, 2014). Given these turnovers, it does not fall under the jurisdiction of the European Union. On the other hand, the control thresholds mentioned in II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A. PRODUCT AND SERVICE MARKETS  </w:t>
        <w:br/>
        <w:t xml:space="preserve">1. THE RECREATIONAL VEHICLE DISTRIBUTION SECTOR  </w:t>
        <w:br/>
        <w:t xml:space="preserve">5. In the automotive distribution sector, decision-making practice distinguishes the markets (i) for the distribution of new passenger cars intended for individual customers; (ii) for the distribution of new passenger cars intended for professional customers; (iii) for the distribution of commercial vehicles; (iv) for the distribution of used vehicles; (v) for the distribution of spare parts and automotive accessories; (vi) for the distribution of maintenance and repair services for automobiles; (vii) for the distribution of rental services.  </w:t>
        <w:br/>
        <w:t xml:space="preserve">6. Decision-making practice has considered that this segmentation is also applicable to the recreational vehicle sector.  </w:t>
        <w:br/>
        <w:t xml:space="preserve">7. In this case, the parties are active in the markets (i) for the distribution of new recreational vehicles and (ii) used, (iii) for the distribution of spare parts and accessories for recreational vehicles and (iv) for the distribution of maintenance and repair services for recreational vehicles.  </w:t>
        <w:br/>
        <w:t xml:space="preserve">1 See in particular Decision No. 09-DCC-01 of the Competition Authority of April 8, 2009, Decision No. 10-DCC-23 of March 1, 2010, and Decision No. 14-DCC-194 of December 26, 2014.  </w:t>
        <w:br/>
        <w:t xml:space="preserve">2 Letter from the Minister dated September 3, 2003, to the advisors of the company Società Europea Autocaravan SpA, regarding a concentration in the recreational vehicle distribution sector.  </w:t>
        <w:br/>
        <w:t>3 Market defined by the Commission in its decision of July 20, 2007, COMP M.4757 Nordic Capital/Thule, which however left open the question of possible sub-segmentation based on types of accessories. The Competition Authority, in its opinions No. 09-A-18 of June 2, 2009, regarding two derogatory agreements on payment deadlines in the recreational vehicle sector No. 13-A-03 of January 29, 2013, regarding two derogatory agreements for payment deadlines in the recreational vehicle sector, has defined a product market consisting of accessories for recreational vehicles.</w:t>
      </w:r>
    </w:p>
    <w:p>
      <w:r>
        <w:t xml:space="preserve">8. While leaving the question open, decision-making practice has considered distinguishing within the activity of distributing new or used recreational vehicles, distinct markets based on the category of recreational vehicles considered (caravans, motorhomes, mobile residences (hereinafter "mobile homes")). A distinct market for the sale of mobile homes has been considered, itself segmented based on the distribution channel, distinguishing residential mobile homes (high-end) from rental mobile homes (mid-range and low-end).  </w:t>
        <w:br/>
        <w:t>9. In any case, the question of the exact definition of the recreational vehicle distribution markets can be left open insofar as, regardless of the delimitation adopted, the conclusions of the competitive analysis will remain unchanged.</w:t>
      </w:r>
    </w:p>
    <w:p>
      <w:r>
        <w:t xml:space="preserve">2. MARKET FOR THE DISTRIBUTION OF TECHNICAL ASSISTANCE SERVICES  </w:t>
        <w:br/>
        <w:t xml:space="preserve">10. Decision-making practice has distinguished a market for automotive technical assistance, ancillary or related to the property insurance markets, consisting of offering assistance services for damaged, broken down, or stolen vehicles (towing, provision of replacement vehicles).  </w:t>
        <w:br/>
        <w:t>11. The acquirer is active in this market through its subsidiary SMS, which offers technical assistance towing services for RVs. Most market players offer technical assistance services for vehicles of all categories, including recreational vehicles, and are therefore in direct competition with insurers specialized in RVs. There is therefore no need to consider a narrower segmentation based on vehicle category.</w:t>
      </w:r>
    </w:p>
    <w:p>
      <w:r>
        <w:t xml:space="preserve">B. GEOGRAPHICAL DELIMITATION OF MARKETS  </w:t>
        <w:br/>
        <w:t xml:space="preserve">12. Regarding the markets for the distribution of new and used recreational vehicles, decision-making practice has left open the question of whether they have a national or local dimension. It has considered that the market for mobile homes could have at least a national dimension while leaving the question open. The decision-making practice in force for the distribution of new passenger vehicles generally adopts a departmental definition while complementing the analysis in a more broadly defined catchment area, delineated on a case-by-case basis according to local geographical characteristics.  </w:t>
        <w:br/>
        <w:t xml:space="preserve">4 Letter from the Minister dated September 3, 2003, cited above.  </w:t>
        <w:br/>
        <w:t xml:space="preserve">5 Letter C 2006-107 from the Minister dated March 5, 2007, to the advisors of the Béneteau SA group, regarding a concentration in the sector of leisure residences.  </w:t>
        <w:br/>
        <w:t xml:space="preserve">6 Letter C 2004-144 from the Minister dated October 14, 2004, to the advisors of Europ Assistance Holding regarding a concentration in the insurance sector; letter C 2005-51 from the Minister dated November 23, 2005, to the advisors of the MAAF and MMA groups regarding a concentration in the insurance sector; Decision No. 10-DCC-52 of June 2, 2010, regarding the creation of a Mutual Insurance Group Company ("SGAM") by MACIF, MAIF, and MATMUT; Decision No. 11-DCC-163 of November 9, 2011, regarding the exclusive control by SMABTP and Auxiliaire of a portfolio of fleet insurance contracts; Decision No. 14-DCC-143 of September 29, 2014, regarding the exclusive control by BNP Paribas Cardif of the company Icare.  </w:t>
        <w:br/>
        <w:t xml:space="preserve">7 Letter from the Minister dated September 3, 2003, cited above.  </w:t>
        <w:br/>
        <w:t xml:space="preserve">8 Letter from the Minister dated March 5, 2007, cited above.  </w:t>
        <w:br/>
        <w:t>9 Letter from the Minister dated October 17, 2002, to the president of SA Gueudet Frères, regarding a concentration in the automotive dealership sector; decision of the Competition Authority No. 09-DCC-01 of April 8, 2009, regarding the acquisition of Pellier Metz S.A.S. by the Bailly S.A.S. group.</w:t>
      </w:r>
    </w:p>
    <w:p>
      <w:r>
        <w:rPr>
          <w:b/>
        </w:rPr>
        <w:t>[Pages 4–6]</w:t>
      </w:r>
    </w:p>
    <w:p>
      <w:r>
        <w:t>13. The notifying party notes, however, that the behavior of RV buyers differs from that of automobile buyers, with the specificity of RVs justifying greater travel by customers. It therefore proposes to delineate the geographic markets in this case as those corresponding to the catchment areas of the dealerships involved in the operation, whose extent is broader than the department. Thus, the notifying party has provided data showing that the location of 80% of its dealerships' clientele comes from the departments where the dealerships are located and the neighboring departments. The notifying party has therefore delineated catchment areas corresponding to the department of each dealership's location and the neighboring departments. The relevance of this geographic segmentation has been confirmed by most of the competitors interviewed during the investigation. In this case, the competitive analysis will therefore be conducted at the local level by catchment areas.</w:t>
      </w:r>
    </w:p>
    <w:p>
      <w:r>
        <w:t>14. However, there is no need to conclude on the precise delineation of these markets in this case since this question has no impact on the competitive analysis.</w:t>
      </w:r>
    </w:p>
    <w:p>
      <w:r>
        <w:t>15. Regarding the distribution (i) of spare parts and accessories for recreational vehicles, and (ii) of maintenance and repair services for recreational vehicles, decision-making practice has left open the question of whether they have a national or local dimension. The notifying party proposes to transpose the decision-making practice applicable to analogous markets concerning automobiles - which retains a departmental dimension - without excluding the relevance of a delineation by catchment area including the department of the dealership and the neighboring departments.</w:t>
      </w:r>
    </w:p>
    <w:p>
      <w:r>
        <w:t>16. There is no need to conclude on the precise delineation of these markets in this case since this question has no impact on the competitive analysis.</w:t>
      </w:r>
    </w:p>
    <w:p>
      <w:r>
        <w:t>17. Regarding the market for the distribution of technical assistance services, decision-making practice considers that insurance product markets are of national dimension given consumer preferences, the existence of national legislation and tax constraints, the current structure of these markets, and regulatory systems. There is no need to revisit this definition within the framework of the present operation.</w:t>
      </w:r>
    </w:p>
    <w:p>
      <w:r>
        <w:t>III. Competitive Analysis</w:t>
        <w:br/>
        <w:t>A. ANALYSIS OF HORIZONTAL EFFECTS</w:t>
      </w:r>
    </w:p>
    <w:p>
      <w:r>
        <w:t>18. The operation leads to an overlap of activities of the parties in the various markets of the recreational vehicle distribution sector.</w:t>
      </w:r>
    </w:p>
    <w:p>
      <w:r>
        <w:t>a) The market for the distribution of recreational vehicles</w:t>
      </w:r>
    </w:p>
    <w:p>
      <w:r>
        <w:t>19. Market shares have been evaluated by the notifying party by relating the vehicle sales made by the parties to the total registrations of vehicles recorded, in accordance with the decision-making practice in the distribution of new automobiles. However, the notifying party does not have precise data on the mobile homes segment, so the shares in the overall markets for the distribution of new and used recreational vehicles are overestimated.</w:t>
      </w:r>
    </w:p>
    <w:p>
      <w:r>
        <w:t>20. At the national level, the share of the new entity in the market for the distribution of new recreational vehicles excluding mobile homes is [5-10]%. It is [0-5]% in the caravan segment and [5-10]% in the motorhome segment. In the market for the distribution of used recreational vehicles excluding mobile homes, the market share is [0-5]%. It is [0-5]% in the caravan segment and [0-5]% in the motorhome segment. Finally, the parties are not active in the mobile homes segment.</w:t>
      </w:r>
    </w:p>
    <w:p>
      <w:r>
        <w:t>21. Furthermore, the increment in market shares attributable to the operation remains below [0-5]% in these various segments, and the parties will face competition from several groups or associations such as SLC, TPL-SODEV, Ypo Camp, Masters France, Idylcar, Socanor, as well as independent distributors.</w:t>
      </w:r>
    </w:p>
    <w:p>
      <w:r>
        <w:t>22. At the departmental level, no dealership of the acquirer is present in a department where a dealership of the target is located. However, the operation leads to overlaps of activities in the market for the distribution of recreational vehicles, particularly in the segments of new and used caravans and new and used motorhomes in several catchment areas located around the dealerships of the acquirer and the target, including the department of establishment and the neighboring departments.</w:t>
      </w:r>
    </w:p>
    <w:p>
      <w:r>
        <w:t>23. Regarding the segment of new caravans, the operation leads to an overlap of activities in the catchment areas around the CLC "Vosges" dealership and JPC "Vesoul" dealership. However, the market share of the new entity will be between [0-5]% and [10-20]%, and it will face numerous competing distributors in these areas.</w:t>
      </w:r>
    </w:p>
    <w:p>
      <w:r>
        <w:t>24. Regarding the segment of used caravans, the operation leads to an overlap of activities in the catchment areas around the JPC "Vesoul" and "Bourgogne" dealerships. The notifying party is unable to estimate the market shares of the new entity in the markets for the sale of used caravans. However, the parties will continue to face competitive pressure from eleven competing distributors in the area corresponding to the Vesoul sales point and seven competitors in the area corresponding to the Bourgogne sales point.</w:t>
      </w:r>
    </w:p>
    <w:p>
      <w:r>
        <w:t>25. Regarding the segment of new motorhomes, the market shares of the parties are reproduced in the table below:</w:t>
      </w:r>
    </w:p>
    <w:p>
      <w:r>
        <w:t>Position cumulée des</w:t>
        <w:br/>
        <w:t>Zone CLC Cibles</w:t>
        <w:br/>
        <w:t>parties</w:t>
        <w:br/>
        <w:t>Concession CLC</w:t>
        <w:br/>
        <w:t>[10-20]% [5-10]% [20-30]%</w:t>
        <w:br/>
        <w:t>"Troyes"</w:t>
        <w:br/>
        <w:t>Concession CLC "Saint-</w:t>
        <w:br/>
        <w:t>[20-30]% [10-20]% [30-40]%</w:t>
        <w:br/>
        <w:t>Dizier"</w:t>
        <w:br/>
        <w:t>Concession CLC</w:t>
        <w:br/>
        <w:t>[30-40]% [5-10]% [40-50]%</w:t>
        <w:br/>
        <w:t>"Vosges"</w:t>
        <w:br/>
        <w:t>Concession JPC "Vesoul" [5-10]% [20-30]% [30-40]%</w:t>
        <w:br/>
        <w:t>Concession JPC</w:t>
        <w:br/>
        <w:t>[5-10]% [20-30]% [30-40]%</w:t>
        <w:br/>
        <w:t>"Bourgogne"</w:t>
        <w:br/>
        <w:t>Concession JPC</w:t>
        <w:br/>
        <w:t>[5-10]% [20-30]% [20-30]%</w:t>
        <w:br/>
        <w:t>"Belfort"</w:t>
      </w:r>
    </w:p>
    <w:p>
      <w:r>
        <w:t>26. Concerning the areas around the CLC "Troyes" and JPC "Vesoul", "Bourgogne", and "Belfort" dealerships, the market shares of the new entity will be below [40-50]%, with the operation leading to an increment in market share between [5-10]% and [5-10]%. The parties will face numerous competitors (seven to ten depending on the areas) likely to exert significant competitive pressure in the affected geographic markets.</w:t>
      </w:r>
    </w:p>
    <w:p>
      <w:r>
        <w:t>27. Regarding the area around the CLC "Vosges" dealership, the new entity will represent [40-50]% of the market, with the operation leading to an increment of [5-10]% in market share. However, the parties will continue to face sixteen competing distributors and will thus remain subject to significant competitive pressure.</w:t>
      </w:r>
    </w:p>
    <w:p>
      <w:r>
        <w:t>28. Regarding the area around the CLC "Saint Dizier" dealership, the market share of the new entity will be [40-50]%, with the operation leading to an increment of [10-20]%. However, the parties will face five competing distributors as well as ten other distributors located near the CLC dealership, although in non-neighboring departments. Furthermore, it results from the investigation that most of the competitors interviewed do not assert any competitive risk in this area. The parties will therefore remain subject to sufficient competitive pressure.</w:t>
      </w:r>
    </w:p>
    <w:p>
      <w:r>
        <w:t>29. Regarding the segment of used motorhomes, the market shares of the parties are reproduced in the table below:</w:t>
      </w:r>
    </w:p>
    <w:p>
      <w:r>
        <w:rPr>
          <w:b/>
        </w:rPr>
        <w:t>[Pages 7–8]</w:t>
      </w:r>
    </w:p>
    <w:p>
      <w:r>
        <w:t>Position of the</w:t>
        <w:br/>
        <w:t>Zone CLC Targets</w:t>
        <w:br/>
        <w:t>parties</w:t>
        <w:br/>
        <w:t>CLC Dealership</w:t>
        <w:br/>
        <w:t>30. [5-10] % 31. [0-5] % 32. [5-10] %</w:t>
        <w:br/>
        <w:t>“Troyes”</w:t>
        <w:br/>
        <w:t>CLC Dealership</w:t>
        <w:br/>
        <w:t>33. [10-20] % 34. [5-10] % 35. [10-20] %</w:t>
        <w:br/>
        <w:t>“Saint-Dizier”</w:t>
        <w:br/>
        <w:t>CLC Dealership</w:t>
        <w:br/>
        <w:t>36. [10-20] % 37. [0-5] % 38. [10-20] %</w:t>
        <w:br/>
        <w:t>“Vosges”</w:t>
        <w:br/>
        <w:t>JPC Dealership</w:t>
        <w:br/>
        <w:t>39. [5-10] % 40. [5-10] % 41. [10-20] %</w:t>
        <w:br/>
        <w:t>“Vesoul”</w:t>
        <w:br/>
        <w:t>JPC Dealership</w:t>
        <w:br/>
        <w:t>42. [0-5]% 43. [5-10] % 44. [10-20] %</w:t>
        <w:br/>
        <w:t>“Bourgogne”</w:t>
        <w:br/>
        <w:t>Dealership 4J5P.C [5-10] % 46. [5-10] % 47. [10-20] %</w:t>
        <w:br/>
        <w:t>“Belfort”</w:t>
        <w:br/>
        <w:t>30. In the six concerned zones, the market shares of the new entity will be below [20-30] %, with the operation resulting in a market share increment between [0-5] and [5-10] %. Furthermore, the parties will face numerous competing dealerships, likely to exert sufficient competitive pressure following the operation.</w:t>
        <w:br/>
        <w:t>31. It follows from all these elements that the notified operation is not likely to harm competition in the markets for the distribution of RVs.</w:t>
        <w:br/>
        <w:t>b) On the markets for spare parts and maintenance and repair services for recreational vehicles</w:t>
        <w:br/>
        <w:t>32. The parties engage in the sale of spare parts for the "cell" part of RVs, on the one hand, and in the repair of the "cell" part and the bodywork of RVs, on the other hand.</w:t>
        <w:br/>
        <w:t>33. The notifying party has not been able to provide market share estimates. However, it notes that regarding repair services, the new entity will face numerous other dealerships authorized by manufacturers as well as general body shops or specialized companies, likely to exert competitive pressure on the new entity.</w:t>
        <w:br/>
        <w:t>34. Similarly, concerning the sale of spare parts and accessories for RVs, the new entity will face competition from many other RV dealerships in the various concerned areas, whose investigation has confirmed that most of them also engage in the sale of spare parts and accessories. The parties will also continue to face competition from companies not specialized in RVs such as Décathlon.</w:t>
        <w:br/>
        <w:t>35. It follows from all these elements that the notified operation is not likely to harm competition in the markets for spare parts and maintenance and repair services for RVs.</w:t>
      </w:r>
    </w:p>
    <w:p>
      <w:r>
        <w:t>B. ANALYSIS OF CONGLOMERATE EFFECTS</w:t>
        <w:br/>
        <w:t>36. A concentration has conglomerate effects when the new entity extends or strengthens its presence in several markets whose connection may allow it to increase its market power. While conglomerate concentrations can generally generate pro-competitive synergies, some may nonetheless produce restrictive effects on competition when they allow for the technical or commercial tying of the sales or purchases of the components of the grouping in a way that locks the market and excludes competitors. The decision-making practice of competition authorities generally considers that a risk of conglomerate effect can be ruled out as long as the share of the entity resulting from the operation in the concerned markets does not exceed [20-30] %.</w:t>
        <w:br/>
        <w:t>37. In this case, the markets for the distribution of motorhomes present connections with that of technical assistance and breakdown services in which the acquirer operates.</w:t>
        <w:br/>
        <w:t>38. In this specific case, however, assuming that the new entity decides to tie the sale of motorhomes to the subscription of a technical assistance contract, such a strategy would have no significant effect on the French market for automotive technical assistance, on which the notifying party estimates its share at [0-5] %.</w:t>
        <w:br/>
        <w:t>39. The notified operation is therefore not likely to harm competition through conglomerate effects.</w:t>
        <w:br/>
        <w:t>DECIDES</w:t>
        <w:br/>
        <w:t>Sole Article: The operation notified under number 15-079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