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https://www.autoritedelaconcurrence.fr/fr/decision-de-controle-des-concentrations/relative-la-prise-de-controle-exclusif-de-la-societe-141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15-DCC-99 of July 28, 2015  </w:t>
        <w:br/>
        <w:t xml:space="preserve">regarding the exclusive control acquisition of the company Premdor  </w:t>
        <w:br/>
        <w:t xml:space="preserve">by the company Perceva  </w:t>
        <w:br/>
        <w:t>The Competition Authority,</w:t>
      </w:r>
    </w:p>
    <w:p>
      <w:r>
        <w:t xml:space="preserve">Having regard to the complete notification file submitted to the mergers department on July 3, 2015,  </w:t>
        <w:br/>
        <w:t xml:space="preserve">concerning the exclusive control acquisition of the company Premdor by the company Perceva and  </w:t>
        <w:br/>
        <w:t>formalized by a letter of commitment dated June 12, 2015, and a draft transfer contract;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Premdor SAS,  </w:t>
        <w:br/>
        <w:t xml:space="preserve">active in the sector of manufacturing doors and door sets, by the company Perceva through the professional investment fund FSSF II.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15-111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