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https://www.autoritedelaconcurrence.fr/fr/decision-de-controle-des-concentrations/relative-la-prise-de-controle-exclusif-de-la-societe-143</w:t>
      </w:r>
    </w:p>
    <w:p>
      <w:r>
        <w:t>Pages translated : 2</w:t>
      </w:r>
    </w:p>
    <w:p/>
    <w:p>
      <w:r>
        <w:rPr>
          <w:b/>
        </w:rPr>
        <w:t>[Pages 1–2]</w:t>
      </w:r>
    </w:p>
    <w:p>
      <w:r>
        <w:t xml:space="preserve">FRENCH REPUBLIC  </w:t>
        <w:br/>
        <w:t xml:space="preserve">Decision No. 16-DCC-08 of January 25, 2016  </w:t>
        <w:br/>
        <w:t xml:space="preserve">regarding the exclusive control acquisition of the company Premium Motors  </w:t>
        <w:br/>
        <w:t xml:space="preserve">Guadeloupe by AGM Holding (Groupe Parfait)  </w:t>
        <w:br/>
        <w:t xml:space="preserve">The Competition Authority,  </w:t>
        <w:br/>
        <w:t xml:space="preserve">Having regard to the complete notification file sent to the mergers department on December 24,  </w:t>
        <w:br/>
        <w:t xml:space="preserve">2015 concerning the exclusive control acquisition by the company AGM Holding, parent company of  </w:t>
        <w:br/>
        <w:t xml:space="preserve">Groupe Parfait, of the company Premium Motors Guadeloupe, materialized by a letter  </w:t>
        <w:br/>
        <w:t xml:space="preserve">of intent dated August 11,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Premium Motors  </w:t>
        <w:br/>
        <w:t xml:space="preserve">Guadeloupe, operating a business of automobile distribution of the Land Rover brand located in Guadeloupe, by AGM Holding, the holding company of Groupe Parfait. The Groupe Parfait operates car dealerships under the brands Audi, VW, Opel, Kia, Mitsubishi, Seat, Honda, and Mercedes in Martinique. In Guadeloupe, it engages in a vehicle rental activity without drivers under the Avis brand. It also engages in food distribution activities in Martinique and Guadeloupe. This operation constitutes a concentration within the meaning of Article L. 430-1 of the Commercial Code. Given the revenues generated by the companies concerned, the operation does not fall under the jurisdiction of the European Union. However, the retail trade control thresholds mentioned in point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15-244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