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https://www.autoritedelaconcurrence.fr/fr/decision-de-controle-des-concentrations/relative-la-prise-de-controle-exclusif-de-la-societe-145</w:t>
      </w:r>
    </w:p>
    <w:p>
      <w:r>
        <w:t>Pages translated : 2</w:t>
      </w:r>
    </w:p>
    <w:p/>
    <w:p>
      <w:r>
        <w:rPr>
          <w:b/>
        </w:rPr>
        <w:t>[Pages 1–2]</w:t>
      </w:r>
    </w:p>
    <w:p>
      <w:r>
        <w:t xml:space="preserve">FRENCH REPUBLIC  </w:t>
        <w:br/>
        <w:t xml:space="preserve">Decision No. 16-DCC-104 of July 21, 2016  </w:t>
        <w:br/>
        <w:t xml:space="preserve">regarding the exclusive control acquisition of the company Financière CMG  </w:t>
        <w:br/>
        <w:t xml:space="preserve">by the company La Financière Patrimoniale d’Investissement  </w:t>
        <w:br/>
        <w:t xml:space="preserve">The Competition Authority,  </w:t>
        <w:br/>
        <w:t xml:space="preserve">Having regard to the notification file sent to the mergers department on May 20, 2016, and declared complete on July 4, 2016, concerning the exclusive control acquisition of Financière CMG SAS by La Financière Patrimoniale d’Investissements SAS, and formalized by a conciliation protocol approved by a judgment of the Nanterre Commercial Court dated May 31,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Financière CMG and its subsidiaries, active in the market for private sports clubs in the Paris region, by the company La Financière Patrimoniale d’Investissement.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16-074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