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https://www.autoritedelaconcurrence.fr/fr/decision-de-controle-des-concentrations/relative-la-prise-de-controle-exclusif-de-la-societe-146</w:t>
      </w:r>
    </w:p>
    <w:p>
      <w:r>
        <w:t>Pages translated : 4</w:t>
      </w:r>
    </w:p>
    <w:p/>
    <w:p>
      <w:r>
        <w:rPr>
          <w:b/>
        </w:rPr>
        <w:t>[Pages 1–3]</w:t>
      </w:r>
    </w:p>
    <w:p>
      <w:r>
        <w:t xml:space="preserve">FRENCH REPUBLIC  </w:t>
        <w:br/>
        <w:t xml:space="preserve">Decision No. 16-DCC-110 of July 25, 2016  </w:t>
        <w:br/>
        <w:t xml:space="preserve">regarding the exclusive control of Trocadéro Participations by Naxicap Partners  </w:t>
        <w:br/>
        <w:t xml:space="preserve">The Competition Authority,  </w:t>
        <w:br/>
        <w:t xml:space="preserve">Having regard to the notification file submitted in full to the merger control service on June 24, 2016, regarding the exclusive control of Trocadéro Participations by Naxicap Partners formalized by a share purchase agreement dated June 7, 2016;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 xml:space="preserve">Adopts the following decision:  </w:t>
        <w:br/>
        <w:t xml:space="preserve">I. The concerned companies and the operation  </w:t>
        <w:br/>
        <w:t xml:space="preserve">1. The company Naxicap Partners (hereinafter, "Naxicap") is 100% owned by Natixis, which is predominantly owned by Banque Populaire and Caisse d’Epargne (hereinafter, "BPCE"). Naxicap is a portfolio management company that supports capital development projects, capital restructuring, diversification of executives' assets, financing of transmission and creation, with interventions in equity. Its activity mainly focuses on small and medium-sized enterprises.  </w:t>
        <w:br/>
        <w:t xml:space="preserve">2. The company Trocadéro Participations (hereinafter, "Texa") is controlled by the companies Trocadéro Participations II ([…] %), Texa Groupe Investissement ([…] %), Holding Belair ([…] %), FCPR Pragma II ([…] %) and by Texa Groupe Construction and its management ([…] %). Texa is primarily active in the insurance expertise market as well as in the real estate diagnostics market through its subsidiaries Texa SAS, Eurisk SAS, CLE SAS, Geop SAS, and AlloDiagnostic.  </w:t>
        <w:br/>
        <w:t xml:space="preserve">3. Under a share purchase agreement dated June 7, 2016, Naxicap committed to have a newly created company (hereinafter, "Newco II") acquire 100% of the capital and voting rights of Texa's shareholders. At the end of the operation, Naxicap will hold  </w:t>
        <w:br/>
        <w:t xml:space="preserve">directly and indirectly, via several investment funds it holds exclusively, […] % of Texa's capital. The remaining […] % will be transferred to Texa's management, without the latter being able to exert decisive influence over the company.  </w:t>
        <w:br/>
        <w:t xml:space="preserve">4. As it results in the exclusive control of Texa and all its subsidiaries by Naxicap, the operation constitutes a concentration within the meaning of Article L. 430-1 of the Commercial Code.  </w:t>
        <w:br/>
        <w:t xml:space="preserve">5. The companies concerned together achieve a total worldwide turnover excluding taxes of more than 150 million euros (Naxicap: […] euros for the fiscal year ending December 31, 2015; Texa: […] euros for the same fiscal year). Each of these companies has achieved a turnover in France exceeding 50 million euros (Naxicap: […] euros for the fiscal year ending December 31, 2015; Texa: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Texa is notably active in the insurance expertise market. The BPCE group, through Natixis Assurances, is active in the downstream market of personal insurance and non-life insurance, some segments of which have vertical links with the insurance expertise market.  </w:t>
        <w:br/>
        <w:t xml:space="preserve">A. PRODUCT MARKET  </w:t>
        <w:br/>
        <w:t xml:space="preserve">7. Upstream, European decision-making practice has segmented the insurance expertise market by distinguishing (i) services related to the calculation of damage amounts and the determination of the insurer's liability, (ii) claims management services, (iii) insurance consulting services, and (iv) services for restoring or replacing property following a loss or damage.  </w:t>
        <w:br/>
        <w:t xml:space="preserve">8. In this case, the question of the precise definition of the insurance expertise market can be left open insofar as, regardless of the delimitation adopted, the competitive analysis will remain unchanged.  </w:t>
        <w:br/>
        <w:t xml:space="preserve">9. Downstream, national and European competition authorities distinguish the markets of personal insurance, property insurance (goods and liabilities), and reinsurance.  </w:t>
        <w:br/>
        <w:t xml:space="preserve">10. Regarding personal insurance and property insurance, competition authorities have determined that they can be segmented into as many markets as there are insurances covering different types of risks, insofar as, from the demand perspective, insurances covering these different risks are not substitutable. Concerning the personal insurance market, an additional segmentation can be made between group insurance contracts, concluded between an insurer and a subscriber distinct from the beneficiary, and individual insurance contracts where the subscriber is also the beneficiary. Similarly, concerning the property insurance market, an additional segmentation can be made between insurances aimed at individuals and insurances aimed at professionals.  </w:t>
        <w:br/>
        <w:t xml:space="preserve">11. In this case, only the BPCE group is active in personal insurance through BPCE Vie, BPCE Prévoyance, and Natixis Life and is active in non-life insurance through BPCE Assurances and BPCE IARD.  </w:t>
        <w:br/>
        <w:t xml:space="preserve">12. The exact definition of each of the markets examined in this decision can, however, be left open, as the conclusions of the competitive analysis will remain unchanged regardless of the segmentations adopted.  </w:t>
        <w:br/>
        <w:t xml:space="preserve">B. GEOGRAPHICAL MARKET  </w:t>
        <w:br/>
        <w:t xml:space="preserve">13. Decision-making practice considers that the insurance expertise market is of national dimension.  </w:t>
        <w:br/>
        <w:t xml:space="preserve">14. Furthermore, with the exception of certain insurances covering large-scale risks, decision-making practice considers that insurance markets are of national dimension given consumer preferences, the existence of national legislation and tax constraints, the current structure of these markets, and the regulatory systems concerning this sector of activity.  </w:t>
        <w:br/>
        <w:t xml:space="preserve">III. Competitive analysis  </w:t>
        <w:br/>
        <w:t>15. The parties to the operation are not simultaneously present in the same markets. Consequently, the operation is not likely to harm competition through horizontal effects in the insurance and insurance expertise markets. The activities of the parties, however, present a vertical link insofar as, due to the operation, Natixis Assurances companies will be able to use the insurance expertise services of Texa.</w:t>
      </w:r>
    </w:p>
    <w:p>
      <w:r>
        <w:rPr>
          <w:b/>
        </w:rPr>
        <w:t>[Pages 4–4]</w:t>
      </w:r>
    </w:p>
    <w:p>
      <w:r>
        <w:t>16. A vertical concentration can restrict competition by making access to the markets in which the new entity will operate more difficult, or even potentially driving out competitors or penalizing them through an increase in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effectively dismisses the risks of lock-in when the market share of the company resulting from the operation in the relevant markets does not exceed 30%.</w:t>
      </w:r>
    </w:p>
    <w:p>
      <w:r>
        <w:t>17. In the present case, Texa's market share is estimated at [10-20]% in the insurance expertise market, regardless of the market segmentation chosen. Furthermore, the market share of the BPCE group in the overall insurance market is less than [0-5]%.</w:t>
      </w:r>
    </w:p>
    <w:p>
      <w:r>
        <w:t>18. Consequently, any risk of lock-in of access to customers and lock-in of access to inputs can be ruled out.</w:t>
      </w:r>
    </w:p>
    <w:p>
      <w:r>
        <w:t>19. The operation is therefore not likely to harm competition through vertical effects in the relevant markets.</w:t>
      </w:r>
    </w:p>
    <w:p>
      <w:r>
        <w:t>DECIDES</w:t>
        <w:br/>
        <w:t>Sole Article: The operation notified under number 16-119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