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https://www.autoritedelaconcurrence.fr/fr/decision-de-controle-des-concentrations/relative-la-prise-de-controle-exclusif-de-la-societe-147</w:t>
      </w:r>
    </w:p>
    <w:p>
      <w:r>
        <w:t>Pages translated : 2</w:t>
      </w:r>
    </w:p>
    <w:p/>
    <w:p>
      <w:r>
        <w:rPr>
          <w:b/>
        </w:rPr>
        <w:t>[Pages 1–2]</w:t>
      </w:r>
    </w:p>
    <w:p>
      <w:r>
        <w:t xml:space="preserve">FRENCH REPUBLIC  </w:t>
        <w:br/>
        <w:t xml:space="preserve">Decision No. 16-DCC-114 of 25 July 2016  </w:t>
        <w:br/>
        <w:t xml:space="preserve">regarding the exclusive control acquisition of the company Driveplanet by  </w:t>
        <w:br/>
        <w:t xml:space="preserve">Sigefi Private Equity  </w:t>
        <w:br/>
        <w:t xml:space="preserve">The Competition Authority,  </w:t>
        <w:br/>
        <w:t xml:space="preserve">Having regard to the complete notification file sent to the mergers department on 8 July 2016,  </w:t>
        <w:br/>
        <w:t xml:space="preserve">concerning the exclusive control acquisition of the company Driveplanet by the company Sigefi Private  </w:t>
        <w:br/>
        <w:t xml:space="preserve">Equity, formalized by a letter of intent dated 1 July 2016;  </w:t>
        <w:br/>
        <w:t xml:space="preserve">Having regard to Book IV of the Commercial Code relating to the freedom of prices and competition, and  </w:t>
        <w:br/>
        <w:t xml:space="preserve">notably its Articles L. 430-1 to L. 430-7;  </w:t>
        <w:br/>
        <w:t xml:space="preserve">Having regard to the additional elements submitted by the notifying party during the investigation;  </w:t>
        <w:br/>
        <w:t xml:space="preserve">Adopts the following decision:  </w:t>
        <w:br/>
        <w:t xml:space="preserve">1. The notified operation consists of the acquisition by the company Sigefi Private Equity of the exclusive control of the company Driveplanet, which specializes in the manufacture and sale of light motor vehicles without a license. This operation constitutes a concentration operation within the meaning of Article L. 430-1 of the Commercial Code. Given the turnover achieved by the concerned companies,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16-133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