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https://www.autoritedelaconcurrence.fr/fr/decision-de-controle-des-concentrations/relative-la-prise-de-controle-exclusif-de-la-societe-148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16-DCC-118 of August 24, 2016  </w:t>
        <w:br/>
        <w:t xml:space="preserve">regarding the exclusive control acquisition of the company Alliance Marine by  </w:t>
        <w:br/>
        <w:t xml:space="preserve">the company Weinberg Capital Partners  </w:t>
        <w:br/>
        <w:t xml:space="preserve">The Competition Authority,  </w:t>
        <w:br/>
        <w:t xml:space="preserve">Having regard to the complete notification file submitted to the mergers department on July 21, 2016,  </w:t>
        <w:br/>
        <w:t xml:space="preserve">concerning the exclusive control acquisition of the company Alliance Marine by the company Weinberg  </w:t>
        <w:br/>
        <w:t xml:space="preserve">Capital Partners, formalized by a draft sales contract dated June 24,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submitted by the parties during the investigation;  </w:t>
        <w:br/>
        <w:t xml:space="preserve">Adopts the following decision:  </w:t>
        <w:br/>
        <w:t xml:space="preserve">1. The notified operation consists of the exclusive control acquisition of the company Alliance Marine,  </w:t>
        <w:br/>
        <w:t xml:space="preserve">active in the wholesale distribution of nautical accessories and equipment, by  </w:t>
        <w:br/>
        <w:t xml:space="preserve">the company Weinberg Capital Partners.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 </w:t>
        <w:br/>
        <w:t xml:space="preserve">the retail trade control thresholds mentioned in point I of Article L. 430-2 of the Commercial Code are exceeded.  </w:t>
        <w:br/>
        <w:t xml:space="preserve">This operation is therefore subject to the provisions of Articles L. 430-3 and following of the Commercial Code  </w:t>
        <w:br/>
        <w:t xml:space="preserve">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16-127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