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https://www.autoritedelaconcurrence.fr/fr/decision-de-controle-des-concentrations/relative-la-prise-de-controle-exclusif-de-la-societe-150</w:t>
      </w:r>
    </w:p>
    <w:p>
      <w:r>
        <w:t>Pages translated : 2</w:t>
      </w:r>
    </w:p>
    <w:p/>
    <w:p>
      <w:r>
        <w:rPr>
          <w:b/>
        </w:rPr>
        <w:t>[Pages 1–2]</w:t>
      </w:r>
    </w:p>
    <w:p>
      <w:r>
        <w:t xml:space="preserve">FRENCH REPUBLIC  </w:t>
        <w:br/>
        <w:t xml:space="preserve">Decision No. 16-DCC-154 of October 14, 2016  </w:t>
        <w:br/>
        <w:t xml:space="preserve">regarding the exclusive control acquisition of the company Concept 2003 by the  </w:t>
        <w:br/>
        <w:t xml:space="preserve">Carrefour group  </w:t>
        <w:br/>
        <w:t xml:space="preserve">The Competition Authority,  </w:t>
        <w:br/>
        <w:t xml:space="preserve">Having regard to the complete notification file submitted to the mergers department on  </w:t>
        <w:br/>
        <w:t xml:space="preserve">September 21, 2016, concerning the exclusive control acquisition of the company Concept 2003 by the  </w:t>
        <w:br/>
        <w:t xml:space="preserve">Carrefour group, and formalized by a conditional agreement protocol, dated  </w:t>
        <w:br/>
        <w:t xml:space="preserve">September 14, 2016;  </w:t>
        <w:br/>
        <w:t xml:space="preserve">Having regard to Book IV of the Commercial Code relating to the freedom of prices and competition, and  </w:t>
        <w:br/>
        <w:t xml:space="preserve">notably its Articles L. 430-1 to L. 430-7 and R. 461-1;  </w:t>
        <w:br/>
        <w:t xml:space="preserve">Adopts the following decision:  </w:t>
        <w:br/>
        <w:t xml:space="preserve">1. The notified operation consists of the exclusive control acquisition of the company Concept 2003,  </w:t>
        <w:br/>
        <w:t xml:space="preserve">operating a retail sales outlet predominantly selling food under the Carrefour brand in the city of Bray Dunes (59), by the Carrefour group. It constitutes a concentration operation within the meaning of Article L. 430-1 of the Commercial Code. Given the revenues generated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16-179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