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https://www.autoritedelaconcurrence.fr/fr/decision-de-controle-des-concentrations/relative-la-prise-de-controle-exclusif-de-la-societe-153</w:t>
      </w:r>
    </w:p>
    <w:p>
      <w:r>
        <w:t>Pages translated : 5</w:t>
      </w:r>
    </w:p>
    <w:p/>
    <w:p>
      <w:r>
        <w:rPr>
          <w:b/>
        </w:rPr>
        <w:t>[Pages 1–3]</w:t>
      </w:r>
    </w:p>
    <w:p>
      <w:r>
        <w:t xml:space="preserve">FRENCH REPUBLIC  </w:t>
        <w:br/>
        <w:t xml:space="preserve">Decision No. 16-DCC-176 of November 14, 2016  </w:t>
        <w:br/>
        <w:t xml:space="preserve">regarding the exclusive control of the company Parilis by the company  </w:t>
        <w:br/>
        <w:t xml:space="preserve">Altice International  </w:t>
        <w:br/>
        <w:t xml:space="preserve">The Competition Authority,  </w:t>
        <w:br/>
        <w:t xml:space="preserve">Having regard to the notification file submitted in full to the merger service on October 11, 2016,  </w:t>
        <w:br/>
        <w:t xml:space="preserve">regarding the exclusive control of the company Parilis by the company Altice International,  </w:t>
        <w:br/>
        <w:t xml:space="preserve">formalized by a share transfer agreement dated October 10, 2016;  </w:t>
        <w:br/>
        <w:t xml:space="preserve">Having regard to Book IV of the Commercial Code relating to the freedom of prices and competition, and  </w:t>
        <w:br/>
        <w:t xml:space="preserve">notably its Articles L. 430-1 to L. 430-7 and R. 461-1;  </w:t>
        <w:br/>
        <w:t xml:space="preserve">Having regard to the supplementary elements transmitted by the parties during the investigation;  </w:t>
        <w:br/>
        <w:t xml:space="preserve">Adopts the following decision:  </w:t>
        <w:br/>
        <w:t xml:space="preserve">I. The companies concerned and the transaction  </w:t>
        <w:br/>
        <w:t xml:space="preserve">1. Altice International S.a.r.l. is a company wholly owned by Altice Luxembourg S.A., which is itself owned by the company Altice Group Lux. Altice N.V., the parent company of the group, holds all the shares of Altice Group Lux, except for one share held by the company Altice France Bis, indirectly controlled by Altice Luxembourg S.A., all of these companies constituting the Altice group ultimately and exclusively controlled by Mr. Patrick Drahi. In France, the Altice group is active in the telecommunications and media sectors. In the telecommunications sector, the Altice group controls SFR Group, which is primarily active in the French wholesale and retail markets for electronic communications aimed at individuals and businesses through its subsidiaries SFR, SRR, NC Numericable, and Completel.  </w:t>
        <w:br/>
        <w:t>2. Parilis, wholly owned by the company PV International Partners S.a.r.l., SPF, is the holding company of a group active in the installation and maintenance of telecommunications networks in France as well as in Portugal, Israel, the Dominican Republic, Belgium, and Luxembourg. In France, Parilis controls the companies ERT Technologies SAS and its subsidiary Icart SAS, as well as the company Rhon’Telecom.</w:t>
      </w:r>
    </w:p>
    <w:p>
      <w:r>
        <w:t xml:space="preserve">Under the terms of a share transfer agreement dated October 10, 2016, the transaction involves  </w:t>
        <w:br/>
        <w:t xml:space="preserve">the acquisition of 51% of the capital and voting rights of the company Parilis and an irrevocable purchase option on the remaining 49% by the Altice group, via its subsidiary Altice International S.à.r.l., from PV International Partners S.a.r.l., SPF.  </w:t>
        <w:br/>
        <w:t xml:space="preserve">3. As it results in the exclusive control of the company Parilis by the company Altice International, the notified transaction constitutes a concentration within the meaning of Article L. 430-1 of the Commercial Code.  </w:t>
        <w:br/>
        <w:t xml:space="preserve">4. The companies concerned together achieve a total worldwide turnover excluding taxes of more than 150 million euros (Altice group: 14.5 billion euros for the fiscal year ending December 31, 2015; Parilis: […] euros for the same fiscal year). Each of these companies has achieved in France a turnover exceeding 50 million euros (Altice group: 11 billion euros for the fiscal year ending December 31, 2015; Parilis: […] euros for the same fiscal year). Given these turnover figures, the transaction does not fall under the jurisdiction of the European Union. However, the control thresholds mentioned in I of Article L. 430-2 of the Commercial Code are exceeded. This transaction is therefore subject to the provisions of Articles L. 430-3 and following of the Commercial Code relating to economic concentration.  </w:t>
        <w:br/>
        <w:t xml:space="preserve">II. Delimitation of the relevant markets  </w:t>
        <w:br/>
        <w:t xml:space="preserve">5. The contemplated transaction primarily concerns the electrical, mechanical, and climatic engineering sector.  </w:t>
        <w:br/>
        <w:t xml:space="preserve">1. PRODUCT MARKETS  </w:t>
        <w:br/>
        <w:t xml:space="preserve">6. Regarding engineering services, decision-making practice has established a segmentation between the market for electrical engineering services, which includes installation and maintenance services for telecommunications networks, and the markets for mechanical engineering and climatic engineering services.  </w:t>
        <w:br/>
        <w:t xml:space="preserve">7. Electrical engineering encompasses the installation and maintenance services for telecommunications networks. Within electrical engineering, decision-making practice has considered the existence of three distinct segments relating to (i) telecommunications, (ii) electrical substations, and (iii) high voltage lines. In any case, the question of the relevance of segmentation between different types of electrical engineering works can be left open insofar as, regardless of the segmentation chosen, the conclusions of the competitive analysis remain unchanged.  </w:t>
        <w:br/>
        <w:t xml:space="preserve">8. Competition authorities have also considered that the electrical engineering market could be segmented based on the type of work, distinguishing between maintenance work and installation work. In accordance with decision-making practice, the parties consider that installation work includes the following services: design, initial equipment installation, maintenance, repair, and modernization of the infrastructure. Maintenance corresponds to the organization of periodic inspection visits.  </w:t>
        <w:br/>
        <w:t xml:space="preserve">9. Furthermore, decision-making practice has recognized the existence of segmentation based on the type of clientele, distinguishing between residential and non-residential clientele. Within the segment of electrical engineering serving non-residential clientele, it has considered a sub-segmentation between (i) infrastructure, (ii) industry, and (iii) tertiary.  </w:t>
        <w:br/>
        <w:t xml:space="preserve">10. Finally, competition authorities have considered a segmentation of the markets for the installation and maintenance of telecommunications networks by distinguishing between work concerning the installation and maintenance of radio electronic communication equipment, on the one hand, and work for the installation and maintenance of electronic communication equipment, on the other hand.  </w:t>
        <w:br/>
        <w:t xml:space="preserve">11. In any case, the question of the exact delimitation of these markets can be left open, insofar as, regardless of the segmentation chosen, the conclusions of the competitive analysis remain unchanged.  </w:t>
        <w:br/>
        <w:t xml:space="preserve">12. In this case, Parilis is active in the electrical engineering market related to telecommunications serving operator clientele.  </w:t>
        <w:br/>
        <w:t xml:space="preserve">2. GEOGRAPHICAL MARKET  </w:t>
        <w:br/>
        <w:t xml:space="preserve">13. European decision-making practice considers that electrical engineering markets are likely to be of national dimension, due to similar competitive conditions across the entire French territory. However, it has also conducted a competitive analysis of these markets at the regional level and has left open the question of their exact geographical delimitation. Similarly, national decision-making practice has considered that these markets could have a national or regional dimension.  </w:t>
        <w:br/>
        <w:t>14. In any case, the question of the exact geographical delimitation of these markets can be left open insofar as, regardless of the delimitation chosen, the conclusions of the competitive analysis remain unchanged.</w:t>
      </w:r>
    </w:p>
    <w:p>
      <w:r>
        <w:rPr>
          <w:b/>
        </w:rPr>
        <w:t>[Pages 4–5]</w:t>
      </w:r>
    </w:p>
    <w:p>
      <w:r>
        <w:t xml:space="preserve">III. Competitive Analysis  </w:t>
        <w:br/>
        <w:t xml:space="preserve">15. A vertical merger can restrict competition by making it more difficult to access the markets where the new entity will be active, or even by excluding competitors or penalizing them through increased costs. This foreclosure can target downstream markets when the integrated company refuses to sell an input to its downstream competitors. The foreclosure strategy can also concern upstream markets when the downstream branch of the integrated company refuses to purchase products from upstream manufacturers, thereby reducing their commercial outlets. However, the Authority considers it unlikely that a company with a market share of less than 30% in a given market could foreclose a market downstream or upstream of it10.  </w:t>
        <w:br/>
        <w:t xml:space="preserve">16. The Altice group, present in the telecommunications sector, uses subcontractors who provide, in particular, installation and maintenance services for the various telecommunications networks operated by the group. The majority of the group's needs for installation and maintenance are supplied by third parties.  </w:t>
        <w:br/>
        <w:t xml:space="preserve">17. However, the two subsidiaries of Parilis active in this sector currently generate almost all of their revenue from the Altice group ([…] % for ERT Technologies and […] % for ICART).  </w:t>
        <w:br/>
        <w:t xml:space="preserve">18. Therefore, the present operation, which strengthens a pre-existing vertical integration, is likely to produce only very limited effects on the markets concerned.  </w:t>
        <w:br/>
        <w:t xml:space="preserve">19. In this case, neither the Altice group nor Parilis holds market shares greater than 5% in the upstream market for the installation and maintenance of telecommunications networks, regardless of the delimitations chosen. At the national level, competition is exercised among many players, such as Vinci, Spie, Eiffage, and Bouygues Energie. Therefore, Altice's competitors will continue to have access to a wide choice of subcontractors following the operation.  </w:t>
        <w:br/>
        <w:t xml:space="preserve">20. Downstream, the Altice group represents less than 20% of telecommunications network purchases in France, regardless of the market segmentation chosen. The Altice group competes with the main telecommunications operators in France: Orange, Free, and Bouygues Telecom, who also use the same installation and maintenance services for telecommunications networks. Furthermore, other smaller operators also have activities in France and are buyers of these services, for example, operators involved in local authority networks undertaking projects under the broadband or very high-speed initiatives.  </w:t>
        <w:br/>
        <w:t xml:space="preserve">21. Given these elements, the operation is not likely to harm competition through vertical effects in the markets for electrical engineering, installation, and maintenance of telecommunications networks in France.  </w:t>
        <w:br/>
        <w:t xml:space="preserve">10 Guidelines of the Competition Authority regarding the control of concentrations, § 453.  </w:t>
        <w:br/>
        <w:t xml:space="preserve">DECIDES  </w:t>
        <w:br/>
        <w:t xml:space="preserve">Single Article: The operation notified under number 16-170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