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https://www.autoritedelaconcurrence.fr/fr/decision-de-controle-des-concentrations/relative-la-prise-de-controle-exclusif-de-la-societe-154</w:t>
      </w:r>
    </w:p>
    <w:p>
      <w:r>
        <w:t>Pages translated : 5</w:t>
      </w:r>
    </w:p>
    <w:p/>
    <w:p>
      <w:r>
        <w:rPr>
          <w:b/>
        </w:rPr>
        <w:t>[Pages 1–3]</w:t>
      </w:r>
    </w:p>
    <w:p>
      <w:r>
        <w:t xml:space="preserve">FRENCH REPUBLIC  </w:t>
        <w:br/>
        <w:t xml:space="preserve">Decision No. 16-DCC-183 of November 25, 2016  </w:t>
        <w:br/>
        <w:t>regarding the exclusive control acquisition of Latécoère Services by the ADF group</w:t>
      </w:r>
    </w:p>
    <w:p>
      <w:r>
        <w:t xml:space="preserve">The Competition Authority,  </w:t>
        <w:br/>
        <w:t xml:space="preserve">Having regard to the notification file submitted in full to the merger service on October 20, 2016, regarding the exclusive control acquisition of Latécoère Services by the ADF group, formalized by a put option letter dated September 30, 2016, and a draft share transfer agreement;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ADF and its subsidiaries (hereinafter, "ADF") provide industrial maintenance services, which include engineering, maintenance, modernization, and reconstruction of industrial equipment, primarily in the sectors of nuclear power plants, conventional energy production facilities, petrochemicals, and aeronautics. ADF is also active in the fields of industrial cleaning, industrial waste collection, multi-technical management and maintenance services, as well as the supply of generators (hydraulic, electrical, air conditioning). ADF is exclusively controlled by [confidential], which does not control any other economic activity.  </w:t>
        <w:br/>
        <w:t xml:space="preserve">2. The company Latécoère Services and its subsidiaries (hereinafter, "Latécoère") provide engineering services in the aeronautics sector, production line installation services, assembly line services, as well as metrology services. Prior to the operation, Latécoère Services is exclusively controlled by the company Latécoère.  </w:t>
        <w:br/>
        <w:t xml:space="preserve">3. Under a draft share transfer agreement dated September 30, 2016, ADF will acquire 100% of the capital and voting rights of Latécoère Services. As it results in the exclusive control of Latécoère by ADF, the notified operation constitutes a concentration within the meaning of Article L. 430-1 of the Commercial Code.  </w:t>
        <w:br/>
        <w:t>4. The companies concerned have together achieved a consolidated worldwide turnover of more than 150 million euros in the last closed financial year (ADF: 269.1 million euros for the financial year ended December 31, 2015; Latécoère Services: [...] million euros for the same financial year). Each of these companies has achieved, in France, a turnover exceeding 50 million euros (ADF: [...] million euros for the financial year ended December 31, 2015; Latécoère Services: [...] million euros for the same financial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are simultaneously present in the engineering and technical studies markets, as well as in the mechanical engineering markets.  </w:t>
        <w:br/>
        <w:t xml:space="preserve">A. DELIMITATION OF SERVICE MARKETS  </w:t>
        <w:br/>
        <w:t xml:space="preserve">1. THE MARKETS OF ENGINEERING AND TECHNICAL STUDIES  </w:t>
        <w:br/>
        <w:t xml:space="preserve">6. Engineering and technical study services correspond to all the services provided during the life cycle of a product (R&amp;D, development, engineering and process, realization, operation, and maintenance). These services concern numerous economic sectors such as industry, energy, transport, environment, construction, and public services.  </w:t>
        <w:br/>
        <w:t xml:space="preserve">7. Competition authorities, both French and European, have considered several segmentations of this market without definitively resolving the issue.  </w:t>
        <w:br/>
        <w:t xml:space="preserve">8. They have thus considered defining a technology consulting market, a project management assistance market, distinct from other engineering and technical study services. They have also segmented the engineering services market based on the sectors of intervention, distinguishing between the sectors of aeronautics, defense, telecommunications, energy, rail, transport, industry, banking, and insurance, which can be considered as so many relevant markets. For some of these sectors, such as aerospace, the European Commission has considered a sub-segmentation between general technical studies and specialized technical studies.  </w:t>
        <w:br/>
        <w:t xml:space="preserve">9. In this case, Latécoère and ADF provide engineering and technical study services primarily aimed at the aeronautics sector. Latécoère offers specialized technical studies, whereas ADF offers generalist technical studies.  </w:t>
        <w:br/>
        <w:t xml:space="preserve">10. The question of the exact delineation of the engineering and technical studies markets can, however, be left open as the conclusions of the competitive analysis remain unchanged regardless of the hypothesis adopted.  </w:t>
        <w:br/>
        <w:t xml:space="preserve">2. THE MARKETS OF ELECTRICAL, MECHANICAL, AND CLIMATIC ENGINEERING  </w:t>
        <w:br/>
        <w:t xml:space="preserve">11. Decision-making practice has retained several criteria for delineating relevant markets based on the nature of the service (electrical engineering, mechanical engineering, or climatic engineering), the type of work (installation or maintenance), and the type of clientele (residential or non-residential). Within the non-residential segment, a distinction has been considered between industry, tertiary, and infrastructure.  </w:t>
        <w:br/>
        <w:t xml:space="preserve">12. In this case, the parties operate specialized agencies in mechanical engineering works that consist of the installation and maintenance of industrial sites.  </w:t>
        <w:br/>
        <w:t xml:space="preserve">13. The question of the exact delineation of the mechanical engineering markets can be left open, as the conclusions of the competitive analysis remain unchanged regardless of the delineations adopted.  </w:t>
        <w:br/>
        <w:t xml:space="preserve">B. DELIMITATIONS OF GEOGRAPHICAL MARKETS  </w:t>
        <w:br/>
        <w:t xml:space="preserve">1. THE MARKETS OF ENGINEERING AND TECHNICAL STUDIES  </w:t>
        <w:br/>
        <w:t>14. Decision-making practice has generally considered that the markets of engineering and technical studies were of national dimension. However, it has also considered that these markets could be of sub-national dimension depending on the type of clientele and the missions concerned.</w:t>
      </w:r>
    </w:p>
    <w:p>
      <w:r>
        <w:rPr>
          <w:b/>
        </w:rPr>
        <w:t>[Pages 4–5]</w:t>
      </w:r>
    </w:p>
    <w:p>
      <w:r>
        <w:t>15. In this case, the precise geographic dimension of the engineering and technical studies markets can be left open, as the conclusions of the competitive analysis remain unchanged, regardless of the segmentations adopted.</w:t>
      </w:r>
    </w:p>
    <w:p>
      <w:r>
        <w:t>2. THE MECHANICAL ENGINEERING MARKETS</w:t>
      </w:r>
    </w:p>
    <w:p>
      <w:r>
        <w:t>16. Decision-making practice examines the effects of concentration operations on the mechanical engineering markets at national and regional levels. It has indeed noted that the main players in mechanical engineering were established at the national level, but that a significant number of players were of regional size.</w:t>
      </w:r>
    </w:p>
    <w:p>
      <w:r>
        <w:t>17. In this case, the precise geographic dimension of the mechanical engineering markets can be left open, as the conclusions of the competitive analysis remain unchanged, regardless of the segmentations adopted.</w:t>
      </w:r>
    </w:p>
    <w:p>
      <w:r>
        <w:t>III. Competitive Analysis</w:t>
      </w:r>
    </w:p>
    <w:p>
      <w:r>
        <w:t>1. ON THE ENGINEERING AND TECHNICAL STUDIES MARKETS</w:t>
      </w:r>
    </w:p>
    <w:p>
      <w:r>
        <w:t>18. As already noted by the Authority, in terms of engineering and technical studies, the supply is heterogeneous and fragmented. Among the operators for whom engineering constitutes the main activity, the specialized subsidiaries of large industrial groups as well as study offices of varying sizes must be taken into account.</w:t>
      </w:r>
    </w:p>
    <w:p>
      <w:r>
        <w:t>19. At the national level, in the engineering and technical studies market, across all sectors of activity, the notifying party estimated the market shares of the new entity in 2014 at [0-5]% for ADF and [0-5]% for Latécoère Services, resulting in a combined market share of [0-5]%.</w:t>
      </w:r>
    </w:p>
    <w:p>
      <w:r>
        <w:t>20. In the engineering and technical studies market aimed at the aerospace sector, the market share of the new entity would be [5-10]% ([0-5]% for ADF and [5-10]% for Latécoère Services). The new entity will continue to face competition from significant companies such as Altran ([20-30]%), Assystem ([20-30]%), Alten ([10-20]%), and Ortec ([10-20]%).</w:t>
      </w:r>
    </w:p>
    <w:p>
      <w:r>
        <w:t>21. At the subnational level, the market share of the new entity will remain below 2% in the regions where the parties' activities overlap.</w:t>
      </w:r>
    </w:p>
    <w:p>
      <w:r>
        <w:t>22. Therefore, the operation is not likely to harm competition in the engineering and technical studies markets.</w:t>
      </w:r>
    </w:p>
    <w:p>
      <w:r>
        <w:t>10 See the aforementioned decisions.</w:t>
      </w:r>
    </w:p>
    <w:p>
      <w:r>
        <w:t>11 See for example the decision of the Authority n° 11-DCC-20 mentioned above as well as decision n° 14-DCC-08 of January 22, 2014, concerning the exclusive control by the Ortec group of the company Financière Sonovision.</w:t>
      </w:r>
    </w:p>
    <w:p>
      <w:r>
        <w:t>12 The parties estimated their positions based on statistics published by INSEE, according to which the French engineering market achieved a turnover of 44.5 billion euros in 2012.</w:t>
      </w:r>
    </w:p>
    <w:p>
      <w:r>
        <w:t>13 These are the former administrative regions of Provence-Alpes-Côte-D’azur, Midi-Pyrénées, Languedoc Roussillon, Île-de-France, and Pays-de-la-Loire.</w:t>
      </w:r>
    </w:p>
    <w:p>
      <w:r>
        <w:t>2. ON THE MECHANICAL ENGINEERING MARKETS</w:t>
      </w:r>
    </w:p>
    <w:p>
      <w:r>
        <w:t>23. At the national level, in the mechanical engineering market aimed at the industrial sector, the new entity will hold an estimated market share of [10-20]% ([5-10]% for ADF and [0-5]% for Latécoère). It will continue to face significant operators, such as Ponticelli ([20-30]%), Cofely Endel ([10-20]%), CNIM ([10-20]%), and Vinci Energie ([10-20]%).</w:t>
      </w:r>
    </w:p>
    <w:p>
      <w:r>
        <w:t>24. In the installation works market, its market share will be [5-10]% ([0-5]% for ADF and [0-5]% for Latécoère). In the maintenance works market, where only ADF is active, its market share will be [10-20]%.</w:t>
      </w:r>
    </w:p>
    <w:p>
      <w:r>
        <w:t>25. At the subnational level, the new entity will hold market shares below 5% in the regions where the parties' activities overlap.</w:t>
      </w:r>
    </w:p>
    <w:p>
      <w:r>
        <w:t>26. Therefore, the operation is not likely to harm competition in the mechanical engineering markets aimed at the industrial sector.</w:t>
      </w:r>
    </w:p>
    <w:p>
      <w:r>
        <w:t>DECIDES</w:t>
      </w:r>
    </w:p>
    <w:p>
      <w:r>
        <w:t>Sole Article: The operation notified under number 16-202 is authorized.</w:t>
      </w:r>
    </w:p>
    <w:p>
      <w:r>
        <w:t>The President,</w:t>
        <w:br/>
        <w:t>Isabelle de Silva</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