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https://www.autoritedelaconcurrence.fr/fr/decision-de-controle-des-concentrations/relative-la-prise-de-controle-exclusif-de-la-societe-155</w:t>
      </w:r>
    </w:p>
    <w:p>
      <w:r>
        <w:t>Pages translated : 2</w:t>
      </w:r>
    </w:p>
    <w:p/>
    <w:p>
      <w:r>
        <w:rPr>
          <w:b/>
        </w:rPr>
        <w:t>[Pages 1–2]</w:t>
      </w:r>
    </w:p>
    <w:p>
      <w:r>
        <w:t xml:space="preserve">FRENCH REPUBLIC  </w:t>
        <w:br/>
        <w:t xml:space="preserve">Decision No. 16-DCC-190 of December 5, 2016  </w:t>
        <w:br/>
        <w:t xml:space="preserve">regarding the exclusive control acquisition of the company Guenant Automobiles by the Alain Guenant group  </w:t>
        <w:br/>
        <w:t xml:space="preserve">The Competition Authority,  </w:t>
        <w:br/>
        <w:t xml:space="preserve">Having regard to the complete notification file submitted to the mergers department on October 28, 2016, concerning the exclusive control acquisition of the company Guenant Automobiles by the Alain Guenant group, formalized by a letter of intent dated September 1,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Alain Guenant group of the company Guenant Automobiles, which operates a business fund for the sale and repair of motor vehicles under the Citroën brand in Vendée (85).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16-207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