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https://www.autoritedelaconcurrence.fr/fr/decision-de-controle-des-concentrations/relative-la-prise-de-controle-exclusif-de-la-societe-16</w:t>
      </w:r>
    </w:p>
    <w:p>
      <w:r>
        <w:t>Pages translated : 5</w:t>
      </w:r>
    </w:p>
    <w:p/>
    <w:p>
      <w:r>
        <w:rPr>
          <w:b/>
        </w:rPr>
        <w:t>[Pages 1–3]</w:t>
      </w:r>
    </w:p>
    <w:p>
      <w:r>
        <w:t xml:space="preserve">FRENCH REPUBLIC  </w:t>
        <w:br/>
        <w:t xml:space="preserve">Decision No. 10-DCC-36 of April 22, 2010  </w:t>
        <w:br/>
        <w:t xml:space="preserve">regarding the exclusive control of the company Catilex by the  </w:t>
        <w:br/>
        <w:t xml:space="preserve">company ITM Alimentaire Centre Ouest (ITM Enterprises Group)  </w:t>
        <w:br/>
        <w:t xml:space="preserve">The Competition Authority,  </w:t>
        <w:br/>
        <w:t xml:space="preserve">Having regard to the notification file submitted in full to the merger service on March 29, 2010,  </w:t>
        <w:br/>
        <w:t xml:space="preserve">regarding the exclusive control of the company Catilex by the company ITM Alimentaire  </w:t>
        <w:br/>
        <w:t xml:space="preserve">Centre Ouest, formalized by a purchase offer made on March 19, 2010, and accepted on March 22,  </w:t>
        <w:br/>
        <w:t xml:space="preserve">2010;  </w:t>
        <w:br/>
        <w:t xml:space="preserve">Having regard to Book IV of the Commercial Code relating to price freedom and competition, and  </w:t>
        <w:br/>
        <w:t xml:space="preserve">notably its Articles L. 430-1 to L. 430-7;  </w:t>
        <w:br/>
        <w:t xml:space="preserve">Adopts the following decision:  </w:t>
        <w:br/>
        <w:t xml:space="preserve">I. The companies concerned and the operation  </w:t>
        <w:br/>
        <w:t xml:space="preserve">1. The company ITM Entreprises, 100% controlled by the Société civile des Mousquetaires,  </w:t>
        <w:br/>
        <w:t xml:space="preserve">itself held by 1,330 individuals known as "associated members," leads and animates the network of  </w:t>
        <w:br/>
        <w:t xml:space="preserve">independent merchants known as the "Groupement des Mousquetaires." In its capacity as franchisor,  </w:t>
        <w:br/>
        <w:t xml:space="preserve">the company ITM Entreprises has as its main activity the management of a network of sales outlets,  </w:t>
        <w:br/>
        <w:t xml:space="preserve">both food and non-food, operated by independent merchants under the following brands:  </w:t>
        <w:br/>
        <w:t xml:space="preserve">Intermarché, Ecomarché, Netto, Restaumarché, Bricomarché, Roady, and Vêti. This management is  </w:t>
        <w:br/>
        <w:t xml:space="preserve">carried out notably through the signing and monitoring of brand contracts with the companies  </w:t>
        <w:br/>
        <w:t xml:space="preserve">operating these sales outlets. ITM Entreprises also provides its franchisees with various services for  </w:t>
        <w:br/>
        <w:t xml:space="preserve">prospecting, consulting, training, etc. Finally, ITM Entreprises offers franchisees the opportunity to  </w:t>
        <w:br/>
        <w:t xml:space="preserve">benefit from advantageous supply conditions from its national and regional subsidiaries as well as  </w:t>
        <w:br/>
        <w:t xml:space="preserve">from external suppliers referenced outside the "Groupement des Mousquetaires."  </w:t>
        <w:br/>
        <w:t xml:space="preserve">2. The company ITM Alimentaire Centre Ouest is a company under French law held at [&gt;50]%  </w:t>
        <w:br/>
        <w:t xml:space="preserve">by the Société ITM Alimentaire France, itself held by the company ITM Entreprises, and at [&lt;50]%  </w:t>
        <w:br/>
        <w:t xml:space="preserve">by the company ITM Entreprises. The company ITM Entreprises has entrusted the company  </w:t>
        <w:br/>
        <w:t xml:space="preserve">ITM Alimentaire Centre Ouest with the management and development of the network of franchisees  </w:t>
        <w:br/>
        <w:t xml:space="preserve">operating the food brands Intermarché, Ecomarché, and Netto in the Central West region of France.  </w:t>
        <w:br/>
        <w:t xml:space="preserve">The ITM Enterprises group achieved a total turnover excluding taxes of [20-30] billion euros during  </w:t>
        <w:br/>
        <w:t xml:space="preserve">the last fiscal year ending on December 31, 2008, of which [15-25] billion was in France.  </w:t>
        <w:br/>
        <w:t xml:space="preserve">3. The company Catilex, a public limited company under French law, is a holding company  </w:t>
        <w:br/>
        <w:t xml:space="preserve">holding the majority of the capital of the company Les Platanes, a simplified joint-stock company,  </w:t>
        <w:br/>
        <w:t xml:space="preserve">whose main purpose is the operation of a predominantly food store located in Rochefort-sur-Mer (17)  </w:t>
        <w:br/>
        <w:t xml:space="preserve">under the Intermarché brand. Mr. and Mrs. X are signatories of the charter of adherence to the  </w:t>
        <w:br/>
        <w:t xml:space="preserve">Mousquetaires group, and the company Les Platanes signed a brand contract with ITM  </w:t>
        <w:br/>
        <w:t xml:space="preserve">Entreprises on August 2, 2005.  </w:t>
        <w:br/>
        <w:t xml:space="preserve">4. The shares of the company Catilex are fully owned by various members of the X family,  </w:t>
        <w:br/>
        <w:t xml:space="preserve">except for one ordinary share held by ITM Entreprises. The company Les Platanes is held at [&gt;50%]  </w:t>
        <w:br/>
        <w:t xml:space="preserve">in full ownership and at […] in usufruct by Catilex. ITM Entreprises holds a preferred share held in  </w:t>
        <w:br/>
        <w:t xml:space="preserve">full ownership. The articles of association of the company Les Platanes grant ITM Entreprises, for a  </w:t>
        <w:br/>
        <w:t xml:space="preserve">period of 25 years, the possibility to block any change of brand, to oppose any transfer of shares,  </w:t>
        <w:br/>
        <w:t xml:space="preserve">and to compel the majority shareholders to sell the business as soon as they operate a similar  </w:t>
        <w:br/>
        <w:t xml:space="preserve">business under a competing brand. Beyond this period, ITM Entreprises retains a right of first refusal  </w:t>
        <w:br/>
        <w:t xml:space="preserve">on any sale of shares for an additional period of 5 years. Furthermore, the brand contract grants ITM  </w:t>
        <w:br/>
        <w:t xml:space="preserve">Entreprises a right of priority in the event of the sale of the business, at a price calculated according  </w:t>
        <w:br/>
        <w:t xml:space="preserve">to a predetermined formula, for a duration of 25 years, extended by 5 years after the expiration of  </w:t>
        <w:br/>
        <w:t xml:space="preserve">the brand contract. It follows from the above that prior to the operation, ITM Entreprises was already  </w:t>
        <w:br/>
        <w:t xml:space="preserve">jointly exercising control of the company Les Platanes with the X family.  </w:t>
        <w:br/>
        <w:t xml:space="preserve">5. The total turnover excluding taxes achieved by Catilex in 2008, the last closed fiscal year,  </w:t>
        <w:br/>
        <w:t xml:space="preserve">amounts to 32.6 million euros exclusively in France.  </w:t>
        <w:br/>
        <w:t xml:space="preserve">6. ITM Alimentaire Centre Ouest has committed, through a purchase promise signed on March 19,  </w:t>
        <w:br/>
        <w:t xml:space="preserve">2010, to acquire all the shares of the company Catilex held by the X family. Following the operation,  </w:t>
        <w:br/>
        <w:t xml:space="preserve">the ITM Enterprises group will become the sole shareholder of the company Catilex.  </w:t>
        <w:br/>
        <w:t xml:space="preserve">7. The notified operation, which results in the exclusive control of the company Catilex by the  </w:t>
        <w:br/>
        <w:t xml:space="preserve">ITM Enterprises group, therefore constitutes a concentration within the meaning of Article L. 430-1 of  </w:t>
        <w:br/>
        <w:t xml:space="preserve">the Commercial Code. Given the turnover of the companies concerned, it does not have a  </w:t>
        <w:br/>
        <w:t xml:space="preserve">community dimension. On the other hand, the control thresholds related to retail trade mentioned in  </w:t>
        <w:br/>
        <w:t xml:space="preserve">point II of Article L. 430-2 of the Commercial Code are exceeded. The present operation is therefore  </w:t>
        <w:br/>
        <w:t xml:space="preserve">subject to the provisions of Articles L. 430-3 and following of the Commercial Code relating to  </w:t>
        <w:br/>
        <w:t xml:space="preserve">economic concentration.  </w:t>
        <w:br/>
        <w:t xml:space="preserve">II. Delimitation of relevant markets  </w:t>
        <w:br/>
        <w:t xml:space="preserve">8. According to the constant practice of national and community competition authorities, two  </w:t>
        <w:br/>
        <w:t xml:space="preserve">categories of markets can be delineated in the food distribution sector.  </w:t>
        <w:br/>
        <w:t xml:space="preserve">1 See notably the decisions of the commission M.946 Intermarché/Spar of June 30, 1997, M.991 Promodès/Casino of October 30, 1997, and  </w:t>
        <w:br/>
        <w:t xml:space="preserve">M.1684 Carrefour/Promodès of January 25, 2000. See also the ministerial decree of July 5, 2000 in the Carrefour/Promodès operation.  </w:t>
        <w:br/>
        <w:t>2</w:t>
      </w:r>
    </w:p>
    <w:p>
      <w:r>
        <w:t xml:space="preserve">downstream markets. These are, on the one hand, the "downstream" markets, of local dimension, which bring together retail businesses and consumers for the sale of consumer goods, and on the other hand, the "upstream" markets for the supply of retail businesses with everyday consumer goods, of national dimension.  </w:t>
        <w:br/>
        <w:t xml:space="preserve">A. DOWNSTREAM DISTRIBUTION MARKETS  </w:t>
        <w:br/>
        <w:t xml:space="preserve">1. SERVICE MARKETS  </w:t>
        <w:br/>
        <w:t xml:space="preserve">9. Regarding the retail sale of everyday consumer goods, competition authorities, both at the community and national levels, have distinguished six categories of commerce using several criteria, notably the size of the stores, their sales techniques, their accessibility, the nature of the service provided, and the breadth of the product ranges offered: (i) hypermarkets, (ii) supermarkets, (iii) specialized trade, (iv) small retail trade, (v) discount stores, (vi) mail order sales.  </w:t>
        <w:br/>
        <w:t xml:space="preserve">10. Hypermarkets are usually defined as stores with a predominant food focus with a sales area equal to or greater than 2,500 m².  </w:t>
        <w:br/>
        <w:t xml:space="preserve">11. In the present case, the store involved in the operation occupies a sales area of 4,650 m², thus falling into the category of hypermarkets.  </w:t>
        <w:br/>
        <w:t xml:space="preserve">2. GEOGRAPHICAL DELIMITATION  </w:t>
        <w:br/>
        <w:t xml:space="preserve">12. In its recent decisions regarding operations concerning hypermarkets or supermarkets, the Competition Authority has recalled that depending on the size of the stores concerned, the conditions of competition should be assessed in two different areas:  </w:t>
        <w:br/>
        <w:t xml:space="preserve">- a first area where the demand of consumers for everyday consumer goods meets the supply of hypermarkets to which they have access within 30 minutes of driving and which are, from their point of view, substitutable for each other;  </w:t>
        <w:br/>
        <w:t xml:space="preserve">- a second area where the demand of consumers meets the supply of supermarkets and equivalent forms of commerce, located within 15 minutes of driving time. These latter forms of commerce may include, in addition to supermarkets, hypermarkets located near consumers and discount stores.  </w:t>
        <w:br/>
        <w:t>13. Other criteria may nevertheless be taken into account to assess the impact of a concentration on the competitive situation in retail distribution markets, which may lead to refining, in the present case, the usual delimitations presented above.</w:t>
      </w:r>
    </w:p>
    <w:p>
      <w:r>
        <w:rPr>
          <w:b/>
        </w:rPr>
        <w:t>[Pages 4–5]</w:t>
      </w:r>
    </w:p>
    <w:p>
      <w:r>
        <w:t>14. In the present case, the store involved in the operation is a hypermarket since its sales area is 4,650 m². However, the competitive analysis will only focus on the market including all hypermarkets, supermarkets, and discount stores located within a 15-minute catchment area around Rochefort-sur-Mer, as the operation does not result in any overlap of activity in the market including hypermarkets located within a 30-minute radius around the store in question.</w:t>
      </w:r>
    </w:p>
    <w:p>
      <w:r>
        <w:t>B. UPSTREAM SUPPLY MARKETS</w:t>
      </w:r>
    </w:p>
    <w:p>
      <w:r>
        <w:t>15. Regarding the supply markets, the European Commission has identified the existence of national markets by major product groups, a delineation followed by national authorities.</w:t>
      </w:r>
    </w:p>
    <w:p>
      <w:r>
        <w:t>16. There is no need to challenge this delineation in the context of the present operation.</w:t>
      </w:r>
    </w:p>
    <w:p>
      <w:r>
        <w:t>III. Competitive Analysis</w:t>
      </w:r>
    </w:p>
    <w:p>
      <w:r>
        <w:t>A. DOWNSTREAM DISTRIBUTION MARKETS</w:t>
      </w:r>
    </w:p>
    <w:p>
      <w:r>
        <w:t>17. In the market including all hypermarkets, supermarkets, and discount stores located within a 15-minute catchment area around Rochefort-sur-Mer, in addition to the hypermarket in Rochefort-sur-Mer which represents 19.5% of market shares, an Intermarché store of 2,400 m² is present in the area, as well as an Ecomarché store with a surface area of 978 m² and a Netto store with a surface area of 999 m². Together, the stores operated under a brand of the Intermarché group hold, before and after the operation, 38% of market shares. They face competition from a store of the E. Leclerc group which occupies a sales area of 5,370 m² (23% market share), from three stores of the EMC Distribution group (14.5%), from a store under the Super U brand (10%), from a store under the Carrefour brand (8.5%), as well as from two Lidl stores.</w:t>
      </w:r>
    </w:p>
    <w:p>
      <w:r>
        <w:t>18. Consequently, the operation is not likely to harm competition in the markets concerned.</w:t>
      </w:r>
    </w:p>
    <w:p>
      <w:r>
        <w:t>B. UPSTREAM SUPPLY MARKETS</w:t>
      </w:r>
    </w:p>
    <w:p>
      <w:r>
        <w:t>19. Regarding the upstream supply markets, the operation, which concerns only one store, is not likely to significantly strengthen the purchasing power of the ITM Enterprises group, across all products as well as by major product groups.</w:t>
      </w:r>
    </w:p>
    <w:p>
      <w:r>
        <w:t>20. Consequently, the operation is not likely to harm competition in the upstream market for predominantly food distribution.</w:t>
      </w:r>
    </w:p>
    <w:p>
      <w:r>
        <w:t>DECIDES</w:t>
      </w:r>
    </w:p>
    <w:p>
      <w:r>
        <w:t>Sole Article: The operation notified under number 10-0032 is authorized.</w:t>
      </w:r>
    </w:p>
    <w:p>
      <w: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