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https://www.autoritedelaconcurrence.fr/fr/decision-de-controle-des-concentrations/relative-la-prise-de-controle-exclusif-de-la-societe-160</w:t>
      </w:r>
    </w:p>
    <w:p>
      <w:r>
        <w:t>Pages translated : 5</w:t>
      </w:r>
    </w:p>
    <w:p/>
    <w:p>
      <w:r>
        <w:rPr>
          <w:b/>
        </w:rPr>
        <w:t>[Pages 1–3]</w:t>
      </w:r>
    </w:p>
    <w:p>
      <w:r>
        <w:t xml:space="preserve">FRENCH REPUBLIC  </w:t>
        <w:br/>
        <w:t xml:space="preserve">Decision No. 16-DCC-212 of December 15, 2016  </w:t>
        <w:br/>
        <w:t xml:space="preserve">regarding the exclusive control of the company Antarius by the  </w:t>
        <w:br/>
        <w:t>Société Générale group</w:t>
      </w:r>
    </w:p>
    <w:p>
      <w:r>
        <w:t xml:space="preserve">The Competition Authority,  </w:t>
        <w:br/>
        <w:t xml:space="preserve">Having regard to the notification file submitted in full to the merger service on  </w:t>
        <w:br/>
        <w:t xml:space="preserve">November 10, 2016, regarding the exclusive control of the company Antarius SA by the Société Générale group, formalized by a letter dated February 25, 2015, denouncing a protocol agreement concluded on November 8, 2002;  </w:t>
        <w:br/>
        <w:t xml:space="preserve">Having regard to Book IV of the Commercial Code relating to price freedom and competition, and in particular its Articles L. 430-1 to L. 430-7 and R. 461-1;  </w:t>
        <w:br/>
        <w:t xml:space="preserve">Having regard to the supplementary elements transmitted by the parties during the investigation;  </w:t>
        <w:br/>
        <w:t>Adopts the following decision:</w:t>
      </w:r>
    </w:p>
    <w:p>
      <w:r>
        <w:t xml:space="preserve">I. The concerned companies and the operation  </w:t>
        <w:br/>
        <w:t xml:space="preserve">1. The Société Générale group is a European group engaged in the financial services sector, whose parent company, Société Générale SA, is a credit institution under French law constituted in the form of a public limited company. The Société Générale group operates particularly in the retail banking sector through three brands: Société Générale, Crédit du Nord, and Boursorama. The group is also active in the production and distribution of insurance products through its subsidiary Sogecap.  </w:t>
        <w:br/>
        <w:t xml:space="preserve">2. Antarius SA (hereinafter, "Antarius") is a company active in the personal insurance sector. Its products are distributed exclusively within the Crédit du Nord network. Antarius is jointly controlled by the Aviva and Société Générale groups, each holding 50% of its capital.  </w:t>
        <w:br/>
        <w:t xml:space="preserve">3. On November 8, 2002, Crédit du Nord and Aviva concluded a protocol agreement organizing their partnership within the company Antarius. By [confidential] letter addressed to Aviva, Crédit du Nord denounced the protocol agreement. This denunciation leads to the exercise by Crédit du Nord of its contractual right to acquire the stake held by Aviva in the capital of Antarius at the end of a two-year period, [confidential]. Upon completion of the operation, Crédit du Nord will thus hold the entire capital of Antarius.  </w:t>
        <w:br/>
        <w:t xml:space="preserve">4. As it results in the exclusive control of the company Antarius by the Société Générale group, the notified operation constitutes a concentration within the meaning of Article L. 430-1 of the Commercial Code.  </w:t>
        <w:br/>
        <w:t>5. The companies concerned together achieve a total worldwide turnover excluding tax of more than 150 million euros (Société Générale group: [...] euros for the fiscal year ending December 31, 2015; Antarius: [...] euros for the same fiscal year). Each of these companies has achieved a turnover in France exceeding 50 million euros (Société Générale group: [...] euros for the fiscal year ending December 31, 2015; Antarius: [...] euros for the same fiscal year). Given these turnover figures, the thresholds provided for in Article 1, paragraph 2, a) and b) of Regulation (EC) No. 139/2004 of the Council of January 20, 2004, are met. Nevertheless, since each of the concerned companies generates more than two-thirds of its turnover in the Union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1. The Société Générale group and Antarius are simultaneously active in the upstream markets for the production of insurance products. The Société Générale group is also active in the downstream markets for the distribution of insurance products on behalf of third parties, which will be taken into account for the analysis of vertical effects.</w:t>
      </w:r>
    </w:p>
    <w:p>
      <w:r>
        <w:t xml:space="preserve">A. THE PRODUCT MARKETS  </w:t>
        <w:br/>
        <w:t>2. In the insurance sector, decision-making practice consistently distinguishes between the upstream markets of reinsurance and the production of insurance products and the downstream markets for the distribution of insurance products on behalf of third parties1.</w:t>
      </w:r>
    </w:p>
    <w:p>
      <w:r>
        <w:t xml:space="preserve">1. MARKETS FOR THE PRODUCTION OF INSURANCE PRODUCTS  </w:t>
        <w:br/>
        <w:t xml:space="preserve">3. Within the insurance sector, decision-making practice consistently distinguishes personal insurance from property insurance (goods and liabilities), each of which can in turn be segmented into as many markets as there are insurances covering different types of risks, insofar as, from the demand perspective, insurance covering these different risks are not substitutable2.  </w:t>
        <w:br/>
        <w:t xml:space="preserve">4. An additional segmentation has been considered within personal insurance between group insurance contracts, concluded between an insurer and a policyholder distinct from the beneficiary, and individual insurance contracts where the policyholder is also the beneficiary3. Similarly, within property insurance, decision-making practice has considered segmenting between insurance intended for individuals and insurance intended for professionals4.  </w:t>
        <w:br/>
        <w:t xml:space="preserve">5. Decision-making practice has also identified the savings and life insurance market, which encompasses all financial products offered under optional capital or annuity insurances, and life insurance products5.  </w:t>
        <w:br/>
        <w:t>6. The question of the exact delimitation of the markets for the production of insurance products on behalf of third parties can, however, be left open insofar as, regardless of the delimitation retained, the conclusions of the competitive analysis remain unchanged. In this case, the Société Générale group, via the company Sogecap, and Antarius are simultaneously present in the markets for the production of personal insurance products.</w:t>
      </w:r>
    </w:p>
    <w:p>
      <w:r>
        <w:t xml:space="preserve">2. MARKETS FOR THE DISTRIBUTION OF INSURANCE PRODUCTS ON BEHALF OF THIRD PARTIES  </w:t>
        <w:br/>
        <w:t xml:space="preserve">7. The distribution of insurance products consists of marketing and ensuring the administrative management of the guarantees or insurance contracts whose risk is borne by third-party insurers6. Decision-making practice has considered the existence of a broad market for the distribution of insurance products by independent intermediaries, including all distribution channels: agents, brokers, and other intermediaries (including banks), except for direct distribution by insurance companies7. Decision-making practice has also considered a narrower market for insurance brokerage, comprising only this distribution channel.  </w:t>
        <w:br/>
        <w:t xml:space="preserve">8. The distribution markets can also be segmented based on the category of insured risks (property insurance and personal insurance) and according to the clientele (businesses or individuals)8.  </w:t>
        <w:br/>
        <w:t>9. The question of the exact delimitation of the markets for the distribution of insurance products on behalf of third parties can, however, be left open insofar as, regardless of the delimitation retained, the conclusions of the competitive analysis remain unchanged. In this case,</w:t>
      </w:r>
    </w:p>
    <w:p>
      <w:r>
        <w:rPr>
          <w:b/>
        </w:rPr>
        <w:t>[Pages 4–5]</w:t>
      </w:r>
    </w:p>
    <w:p>
      <w:r>
        <w:t xml:space="preserve">only the Société Générale group is present in the markets for the distribution of insurance products on behalf of third parties.  </w:t>
        <w:br/>
        <w:t xml:space="preserve">B. GEOGRAPHICAL MARKETS  </w:t>
        <w:br/>
        <w:t xml:space="preserve">1. MARKET FOR THE PRODUCTION OF INSURANCE PRODUCTS  </w:t>
        <w:br/>
        <w:t xml:space="preserve">10. Regarding the geographical delimitation of the markets for the production of insurance products, decision-making practice considers that, with the exception of certain insurances covering large-scale risks, these markets are national in scope, taking into account notably consumer preferences, the existence of national tax regulations, the current structure of these markets, or the regulatory systems concerning this sector of activity9.  </w:t>
        <w:br/>
        <w:t xml:space="preserve">2. MARKET FOR THE DISTRIBUTION OF INSURANCE PRODUCTS  </w:t>
        <w:br/>
        <w:t xml:space="preserve">11. Decision-making practice considers that the markets for the distribution of insurance products are, for the most part, national in scope10.  </w:t>
        <w:br/>
        <w:t xml:space="preserve">III. Competitive Analysis  </w:t>
        <w:br/>
        <w:t xml:space="preserve">1. HORIZONTAL EFFECTS  </w:t>
        <w:br/>
        <w:t xml:space="preserve">12. The Société Générale group, through Sogecap, and Antarius are simultaneously present in the markets for the production of personal insurance products. In these markets, the position of the new entity will remain below [10-20]% regardless of the segmentation considered. It will also continue to face competition from numerous groups such as CNP Assurances, Axa, Crédit Agricole, or Crédit Mutuel.  </w:t>
        <w:br/>
        <w:t xml:space="preserve">13. Under these conditions, the operation is not likely to harm competition through horizontal effects.  </w:t>
        <w:br/>
        <w:t xml:space="preserve">2. VERTICAL EFFECTS  </w:t>
        <w:br/>
        <w:t xml:space="preserve">6. A vertical concentration can restrict competition by making access to the markets where the new entity will be active more difficult, or even by excluding competitors or penalizing them through increased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thereby reducing their commercial outlets. However, the Authority considers that it is unlikely that a company with a market share below 30% in a given market could lock in a downstream or upstream market11.  </w:t>
        <w:br/>
        <w:t xml:space="preserve">7. In this case, the Société Générale group distributes personal insurance products within its retail banking network. These products come either from the Société Générale group itself, or from Antarius, or finally from third-party insurance groups. It should also be noted that prior to the operation, Antarius's products were already exclusively distributed by the Société Générale group.  </w:t>
        <w:br/>
        <w:t xml:space="preserve">8. Following the operation, the Société Générale group could restrict access of these third-party groups to its distribution network in favor of products from Antarius. However, in such a situation, upstream operators would have numerous alternative outlets, as the position of the Société Générale group in the markets for the distribution of insurance products is relatively moderate, estimated at [5-10]%.  </w:t>
        <w:br/>
        <w:t xml:space="preserve">9. In light of the above, the notified operation is not likely to harm competition in the insurance markets through vertical effects.  </w:t>
        <w:br/>
        <w:t xml:space="preserve">DECIDES  </w:t>
        <w:br/>
        <w:t xml:space="preserve">Sole Article: The operation notified under number 16-203 is authorized.  </w:t>
        <w:br/>
        <w:t xml:space="preserve">The Chairwoman,  </w:t>
        <w:br/>
        <w:t xml:space="preserve">Isabelle de Silva  </w:t>
        <w:br/>
        <w:t xml:space="preserve">© Competition Authority  </w:t>
        <w:br/>
        <w:t>11 Guidelines of the Competition Authority regarding the control of concentrations, § 453.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