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https://www.autoritedelaconcurrence.fr/fr/decision-de-controle-des-concentrations/relative-la-prise-de-controle-exclusif-de-la-societe-161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16-DCC-216 of December 21, 2016  </w:t>
        <w:br/>
        <w:t xml:space="preserve">regarding the exclusive control acquisition of the company Socarest by the  </w:t>
        <w:br/>
        <w:t xml:space="preserve">company Espace 3000 Mulhouse  </w:t>
        <w:br/>
        <w:t xml:space="preserve">The Competition Authority,  </w:t>
        <w:br/>
        <w:t xml:space="preserve">Having regard to the complete notification file submitted to the mergers department on November 22,  </w:t>
        <w:br/>
        <w:t xml:space="preserve">2016, concerning the exclusive control acquisition of the company Socarest by the company Espace 3000  </w:t>
        <w:br/>
        <w:t xml:space="preserve">Mulhouse, formalized by a share transfer agreement dated January 23,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Espace 3000 Mulhouse, of the shares  </w:t>
        <w:br/>
        <w:t xml:space="preserve">of the company Socarest, which is active in the sector of the distribution and repair of  </w:t>
        <w:br/>
        <w:t xml:space="preserve">light commercial vehicles of the Volkswagen brand in the Haut-Rhin department (68).  </w:t>
        <w:br/>
        <w:t xml:space="preserve">This operation constitutes a concentration operation within the meaning of Article L. 430-1 of the Commercial  </w:t>
        <w:br/>
        <w:t xml:space="preserve">Code. Given the turnover achieved by the companies concerned, the operation does not fall under the  </w:t>
        <w:br/>
        <w:t xml:space="preserve">competence of the European Union. On the other hand, the control thresholds related to retail trade mentioned in  </w:t>
        <w:br/>
        <w:t xml:space="preserve">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16-199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