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https://www.autoritedelaconcurrence.fr/fr/decision-de-controle-des-concentrations/relative-la-prise-de-controle-exclusif-de-la-societe-162</w:t>
      </w:r>
    </w:p>
    <w:p>
      <w:r>
        <w:t>Pages translated : 6</w:t>
      </w:r>
    </w:p>
    <w:p/>
    <w:p>
      <w:r>
        <w:rPr>
          <w:b/>
        </w:rPr>
        <w:t>[Pages 1–3]</w:t>
      </w:r>
    </w:p>
    <w:p>
      <w:r>
        <w:t>FRENCH REPUBLIC</w:t>
        <w:br/>
        <w:t>Decision No. 16-DCC-219 of December 22, 2016</w:t>
        <w:br/>
        <w:t>regarding the exclusive control of the company Holding Groupe Dacquin by the company NGE SAS</w:t>
        <w:br/>
        <w:t>The Competition Authority,</w:t>
        <w:br/>
        <w:t>Having regard to the notification file submitted in full to the merger service on November 21, 2016, concerning the exclusive control of the company Holding Groupe Dacquin by the company NGE SAS, formalized by a share transfer and guarantee contract dated November 18, 2016;</w:t>
        <w:br/>
        <w:t>Having regard to Book IV of the Commercial Code relating to price freedom and competition, and in particular its Articles L. 430-1 to L. 430-7;</w:t>
        <w:br/>
        <w:t>Having regard to the supplementary elements transmitted by the parties during the investigation;</w:t>
        <w:br/>
        <w:t>Adopts the following decision:</w:t>
        <w:br/>
        <w:t>I. The concerned companies and the operation</w:t>
        <w:br/>
        <w:t>1. NGE SAS (hereinafter "NGE") is a simplified joint-stock company exclusively controlled by the holding company Financière Sainte Anne (hereinafter "FSA") which holds [20-30]% of its capital and [50-60]% of the voting rights. The remainder of the capital is held by several minority shareholders, none of whom have veto rights that would grant them a decisive influence over the strategic decisions of the company. NGE specializes in public works and conducts its activities through several subsidiaries (hereinafter "the NGE group"). The NGE group is organized around seven main areas of activity: (i) buildings, (ii) earthworks and roads and various networks, (iii) pipelines and networks, (iv) geotechnical and safety works, (v) civil engineering, (vi) road and road equipment, and (vii) railways.</w:t>
        <w:br/>
        <w:t>1 See Decision No. 16-DCC-160 of October 24, 2016, regarding the exclusive control of the companies Cardinal, Menuiserie Cardinal, Le Chêne Constructions, and Les Crépis d’Armor by the company NGE SAS.</w:t>
      </w:r>
    </w:p>
    <w:p>
      <w:r>
        <w:t>2. FSA is exclusively controlled by the company Prométhée Group, the parent company of the Prométhée group, itself controlled by Mr. [X]. Apart from the NGE group, which encompasses construction activities, the activities of the Prométhée group are divided into different sectors: hotels, energy, quarries, plantations, real estate, and the cosmetics sector.</w:t>
        <w:br/>
        <w:t>3. The company Holding Group Dacquin (hereinafter, together with its subsidiaries, "the target"), the holding company of the Dacquin group, is owned by the companies Infraconcept, the majority shareholder, and GB finances, as well as by natural persons. It holds 100% of the capital of the companies Dacquin SAS and Dacquin Logistique SAS. The Dacquin group is engaged in the execution of special foundation works.</w:t>
        <w:br/>
        <w:t>4. The operation, formalized by a share transfer and guarantee contract dated November 18, 2016, consists of the acquisition, by NGE, of the entirety of the capital of the company Holding Groupe Dacquin. This operation, which results in the exclusive control of the target by NGE, constitutes a concentration within the meaning of Article L. 430-1 of the Commercial Code.</w:t>
        <w:br/>
        <w:t>5. The concerned companies together generate a total turnover excluding taxes worldwide of more than 150 million euros in the last closed financial year (Prométhée group: […] euros for the financial year closed on December 31, 2015; Dacquin group: […] euros for the financial year closed on June 30, 2016). Each of these companies has generated in France a turnover exceeding 50 million euros (Prométhée group: […] euros for the financial year closed on December 31, 2015; Dacquin group: […] euros for the financial year closed on June 30, 2016). Given these turnover figures,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br/>
        <w:t>II. Delimitation of the relevant markets</w:t>
        <w:br/>
        <w:t>6. Within construction activities, decision-making practice distinguishes between, on one hand, the public works sector, and on the other hand, the building sector. NGE is active in the public works and building markets, while the target is only present in the special foundations market, which is a sub-category of the public works market.</w:t>
        <w:br/>
        <w:t>A. THE PUBLIC WORKS SECTOR</w:t>
        <w:br/>
        <w:t>7. Based on a nomenclature established by the National Federation of Public Works ("FNTP"), national competition authorities have considered that, given the level of specialization observed for these different categories of works, it is appropriate to distinguish several markets within the public works sector, namely:</w:t>
        <w:br/>
        <w:t>2 See Decisions No. 16-DCC-160 of October 24, 2016, regarding the exclusive control of the companies Cardinal, Menuiserie Cardinal, Le Chêne Constructions, and Les Crépis d’Armor by the company NGE SAS, No. 14-DCC-195 of December 31, 2014, regarding the exclusive control of the company Juwi EnR by the company Neoen, No. 09-DCC-43 of the Competition Authority dated September 14, 2009, the opinion of the Competition Council No. 01-A-08 of June 5, 2001, regarding the acquisition of the GTM group by the company Vinci, as well as the letter from the Minister of Economy dated December 1, 2008, No. C2008-116.</w:t>
      </w:r>
    </w:p>
    <w:p>
      <w:r>
        <w:t>- within roadworks, the markets for the manufacture of pavement products, on one hand, and a market for the laying of these pavements, on the other hand;</w:t>
        <w:br/>
        <w:t>- the markets for open-air earthworks (simple and medium and in large mass);</w:t>
        <w:br/>
        <w:t>- the markets for railway works;</w:t>
        <w:br/>
        <w:t>- the markets for special foundations;</w:t>
        <w:br/>
        <w:t>- the markets for network, pipeline, and other works, underground (including water sector works);</w:t>
        <w:br/>
        <w:t>- the general markets for civil engineering with, firstly, structures and industrial equipment, civil engineering of factories, civil engineering of water treatment plants and reservoirs, secondly, underground works (underground structures for traffic, water supply or drainage, storage) and thirdly, works in maritime or river sites.</w:t>
        <w:br/>
        <w:t>8. There is no need to revisit this delineation for the present operation.</w:t>
        <w:br/>
        <w:t>9. In this case, NGE and the target are present in the special foundations market. The civil engineering markets are also concerned by the operation insofar as there is a vertical link between NGE's activities in these markets and the target's special foundations activity.</w:t>
        <w:br/>
        <w:t>1. SPECIAL FOUNDATIONS</w:t>
        <w:br/>
        <w:t>a) The product market</w:t>
        <w:br/>
        <w:t>10. According to decision-making practice, special foundation works encompass a set of techniques for works in the ground intended to provide significant constructions with the necessary support when they are located on land requiring prior surveys or drilling. Special foundation companies frequently collaborate with construction companies (in the form of subcontracting, joint ventures, or partnership agreements), as the construction of large works generally includes a portion of special works.</w:t>
        <w:br/>
        <w:t>11. Competition authorities have considered a segmentation of the general special foundations market based on the size of the project. They have thus examined the effects of the operation on projects valued at more than five million euros and those valued at less than five million euros.</w:t>
        <w:br/>
        <w:t>12. The question of the exact delimitation of the market may, however, remain open in that, regardless of the delimitation retained, the conclusions of the competitive analysis remain unchanged.</w:t>
      </w:r>
    </w:p>
    <w:p>
      <w:r>
        <w:rPr>
          <w:b/>
        </w:rPr>
        <w:t>[Pages 4–6]</w:t>
      </w:r>
    </w:p>
    <w:p>
      <w:r>
        <w:t xml:space="preserve">b) The Geographic Market  </w:t>
        <w:br/>
        <w:t xml:space="preserve">13. Regarding the market for special foundations, competition authorities have examined the effects of operations in this sector at the national level. There is no need to revisit this national market delineation for the present operation.  </w:t>
        <w:br/>
        <w:t xml:space="preserve">2. CIVIL ENGINEERING  </w:t>
        <w:br/>
        <w:t xml:space="preserve">a) Product Markets  </w:t>
        <w:br/>
        <w:t xml:space="preserve">14. Decision-making practice has defined a general civil engineering market that encompasses three categories of works: (i) open-air industrial structures and equipment (dams, bridges, multi-level crossing structures, etc.), (ii) underground works (underground traffic structures, water supply or drainage works, etc.), and (iii) works in maritime or river sites (jetties, lighthouses and beacons, quay walls, pontoons, etc.).  </w:t>
        <w:br/>
        <w:t xml:space="preserve">15. There is no need to revisit this delineation for the present operation.  </w:t>
        <w:br/>
        <w:t xml:space="preserve">16. In this case, the target carries out special foundations only for open-air industrial structures and equipment. The markets for underground works and maritime or river sites are therefore not concerned by the operation.  </w:t>
        <w:br/>
        <w:t xml:space="preserve">b) The Geographic Market  </w:t>
        <w:br/>
        <w:t xml:space="preserve">17. According to national decision-making practice, the market for industrial structures and equipment is of national dimension. There is no need to challenge this delineation for the present operation.  </w:t>
        <w:br/>
        <w:t xml:space="preserve">B. THE BUILDING SECTOR  </w:t>
        <w:br/>
        <w:t xml:space="preserve">1. PRODUCT MARKETS  </w:t>
        <w:br/>
        <w:t xml:space="preserve">18. In the building sector, decision-making practice distinguishes between structural work, which concerns the structure of the building (foundations, walls, roofing, etc.), and finishing work, which concerns the cladding and equipment of said structure (various supply networks, insulation, etc.).  </w:t>
        <w:br/>
        <w:t xml:space="preserve">19. In these two markets, decision-making practice considers a first segmentation based on whether the works are performed for professional clients (public and commercial) or individuals. A second segmentation based on the use of the building, distinguishing between residential and non-residential buildings, has also been considered.  </w:t>
        <w:br/>
        <w:t xml:space="preserve">20. There is no need to challenge these delineations in the examination of the present operation. In any case, in the absence of competitive issues, the question of the exact delineation of structural work markets in building may remain open.  </w:t>
        <w:br/>
        <w:t xml:space="preserve">21. In this case, NGE is present in the structural work markets in building and finishing work. However, the activity of the target concerns only structural work in building, as special foundations are not used for finishing work.  </w:t>
        <w:br/>
        <w:t xml:space="preserve">2. GEOGRAPHIC MARKET  </w:t>
        <w:br/>
        <w:t xml:space="preserve">22. Decision-making practice retains a national dimension for the structural work markets in building.  </w:t>
        <w:br/>
        <w:t xml:space="preserve">23. There is no need to challenge this delineation in the examination of the present operation.  </w:t>
        <w:br/>
        <w:t xml:space="preserve">III. Competitive Analysis  </w:t>
        <w:br/>
        <w:t xml:space="preserve">A. HORIZONTAL EFFECTS  </w:t>
        <w:br/>
        <w:t xml:space="preserve">24. The activities of the parties overlap in the market for special foundations. According to the parties' estimates, the combined market share of the new entity is [5-10]% in this market. It will face, following the operation, competition from significant operators, such as Vinci ([20-30]% market share) and Fayat ([10-20]% market share).  </w:t>
        <w:br/>
        <w:t xml:space="preserve">25. In each of the sub-segments considered by decision-making practice, the combined market share of the parties will not exceed [5-10]%. In each of these segments, the new entity will remain subject to competition from Vinci, Fayat, and Spie.  </w:t>
        <w:br/>
        <w:t xml:space="preserve">26. Given the above, the proposed operation is not likely to harm competition through horizontal effects in the market for special foundations.  </w:t>
        <w:br/>
        <w:t xml:space="preserve">B. VERTICAL EFFECTS  </w:t>
        <w:br/>
        <w:t xml:space="preserve">27. A vertical concentration can restrict competition by making access to the markets in which the new entity will be active more difficult, or potentially by excluding competitors or penalizing them through increased costs. Two types of lock-in are distinguished. In the first case, the integrated company refuses to sell an input to its downstream competitors, or supplies this input at a high price, under unfavorable conditions, or at a degraded quality level ("input lock-in"). In the second case, the downstream branch of the integrated company refuses to purchase or distribute the products of upstream manufacturers, thereby reducing their commercial outlets ("customer access lock-in"). Decision-making practice of competition authorities generally dismisses lock-in risks when the market share of the company resulting from the operation in the concerned markets does not exceed 30%.  </w:t>
        <w:br/>
        <w:t xml:space="preserve">28. In this case, the target carries out special foundations for civil engineering and structural work in building, markets in which the NGE group operates. Thus, following the operation, the vertical integration of the NGE group will be strengthened, as it will be able to offer public works and structural work in building requiring special foundations under the competence of Dacquin, works for which it currently relies on subcontracting. As for the target, it will be able to respond to "multi-trade" tenders including lots of public works and structural work in building other than special foundations.  </w:t>
        <w:br/>
        <w:t xml:space="preserve">29. However, following the operation, the new entity will have a low market share in the downstream markets concerned by the operation. Indeed, it will be less than [0-5]% in the structural work market in building, regardless of the delineation retained. In the civil engineering markets, the new entity will have a market share of less than [0-5]% regardless of the segment considered.  </w:t>
        <w:br/>
        <w:t xml:space="preserve">30. Furthermore, the new entity will face competition from significant operators in these markets (such as Vinci, Bouygues, Eiffage), some of whom are themselves vertically integrated.  </w:t>
        <w:br/>
        <w:t xml:space="preserve">31. The operation is therefore not likely to harm competition through vertical effects.  </w:t>
        <w:br/>
        <w:t xml:space="preserve">DECIDES  </w:t>
        <w:br/>
        <w:t xml:space="preserve">Single Article: The operation notified under number 16-239 is authorized.  </w:t>
        <w:br/>
        <w:t xml:space="preserve">The Vice-President,  </w:t>
        <w:br/>
        <w:t xml:space="preserve">Claire Favre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