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https://www.autoritedelaconcurrence.fr/fr/decision-de-controle-des-concentrations/relative-la-prise-de-controle-exclusif-de-la-societe-164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16-DCC-23 of February 11, 2016  </w:t>
        <w:br/>
        <w:t xml:space="preserve">regarding the exclusive control acquisition of the company Domugues by the  </w:t>
        <w:br/>
        <w:t xml:space="preserve">company ITM Entreprises  </w:t>
        <w:br/>
        <w:t xml:space="preserve">The Competition Authority,  </w:t>
        <w:br/>
        <w:t xml:space="preserve">Having regard to the complete notification file sent to the mergers department on January 20, 2016,  </w:t>
        <w:br/>
        <w:t xml:space="preserve">concerning the exclusive control acquisition of the company Domugues by the company ITM Entreprises,  </w:t>
        <w:br/>
        <w:t xml:space="preserve">a subsidiary of the ITM Group, formalized by a memorandum of understanding dated January 8,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Domugues, which  </w:t>
        <w:br/>
        <w:t xml:space="preserve">operates a predominantly food distribution business under the Intermarché brand in the city of Domarin (38), by the company ITM Entreprises.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16-017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