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https://www.autoritedelaconcurrence.fr/fr/decision-de-controle-des-concentrations/relative-la-prise-de-controle-exclusif-de-la-societe-166</w:t>
      </w:r>
    </w:p>
    <w:p>
      <w:r>
        <w:t>Pages translated : 8</w:t>
      </w:r>
    </w:p>
    <w:p/>
    <w:p>
      <w:r>
        <w:rPr>
          <w:b/>
        </w:rPr>
        <w:t>[Pages 1–3]</w:t>
      </w:r>
    </w:p>
    <w:p>
      <w:r>
        <w:t xml:space="preserve">FRENCH REPUBLIC  </w:t>
        <w:br/>
        <w:t xml:space="preserve">Decision No. 16-DCC-46 of March 17, 2016  </w:t>
        <w:br/>
        <w:t xml:space="preserve">regarding the exclusive control of the company Financière Frères Blanc by the company BH SAS  </w:t>
        <w:br/>
        <w:t xml:space="preserve">The Competition Authority,  </w:t>
        <w:br/>
        <w:t xml:space="preserve">Having regard to the notification file submitted in full to the merger service on February 12, 2016, regarding the exclusive control of the company Financière Frères Blanc by the company BH SAS, formalized by a transfer agreement dated January 28, 2016;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The company BH SAS is exclusively owned and controlled by Olivier Bertrand. It constitutes the holding company of the Bertrand group, primarily active in France in the sectors (i) of commercial catering (notably the Burger King and Quick networks, Brasserie Lipp, the Au Bureau and Café Leffe brands, Bert’s sandwich shops, and Eris cafeterias), (ii) of beverage distribution for the food service industry (hereinafter, "RHF"), (iii) of hospitality, and (iv) of real estate.  </w:t>
        <w:br/>
        <w:t xml:space="preserve">2. The company Financière Frères Blanc is the parent holding company of the Frères Blanc group. The Frères Blanc group is active in the traditional catering sector and operates notably high-end brasseries, 13 of which are located in Paris (75) and one in La Rochelle (17). The company Financière Frères Blanc is 61.5% owned by the FPCI CDC Capital III, managed by Qualium Investissement, 6.1% by the company Financière B, with the remainder of the capital held by other financial investors.  </w:t>
        <w:br/>
        <w:t xml:space="preserve">3. The operation, formalized by a transfer agreement dated January 28, 2016, consists of the acquisition by the company BH SAS of all the shares of Financière Frères Blanc. As it results in the exclusive control of the company Financière Frères Blanc by the Bertrand group, the operation constitutes a concentration within the meaning of Article L. 430-1 of the Commercial Code.  </w:t>
        <w:br/>
        <w:t xml:space="preserve">4. The companies concerned together achieve a total worldwide turnover excluding tax of more than 150 million euros (Bertrand group: [...] euros for the fiscal year ending December 31, 2014; Frères Blanc group: [...] euros for the same fiscal year). At least two of these companies achieve a turnover in France exceeding 50 million euros (Bertrand group: [...] euros for the fiscal year ending December 31, 2014; Frères Blanc group: [...] euros for the same fiscal year). Given these turnovers,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concentrations.  </w:t>
        <w:br/>
        <w:t xml:space="preserve">II. Delimitation of the relevant markets  </w:t>
        <w:br/>
        <w:t xml:space="preserve">5. The parties are simultaneously active in the commercial catering sector as well as in the upstream markets for the supply of food products. The Bertrand group is also active in the market for beverage distribution to cafés, hotels, and restaurants, which will be examined in terms of vertical effects.  </w:t>
        <w:br/>
        <w:t xml:space="preserve">A. THE UPSTREAM MARKET FOR THE SUPPLY OF FOOD PRODUCTS  </w:t>
        <w:br/>
        <w:t xml:space="preserve">1. PRODUCT MARKET  </w:t>
        <w:br/>
        <w:t xml:space="preserve">6. Regarding the upstream supply markets, the decision-making practice delineates as many relevant markets as there are groups of products. Concerning fresh food products, the following are distinguished: dairy products, charcuterie and catering products, seafood, fruits and vegetables, and meat products. The Competition Authority has also identified a market for the supply of frozen products and ice creams and has considered, within this, a specific market for the supply of ice creams, frozen creams, and sorbets.  </w:t>
        <w:br/>
        <w:t xml:space="preserve">7. European decision-making practice has also considered a segmentation of the upstream supply markets based on distribution channels. In its Carrefour/Promodès decision, the European Commission noted that "there are serious indications to suggest that certain supply markets can also be defined based on distribution channels, such that the supply of the retail sector with a predominance of food could constitute an autonomous market." The Competition Authority has also conducted competitive analyses on the sole channel of large-scale distribution and food-dominant stores and considered the existence of distinct markets for the supply of frozen products intended for the RHF.  </w:t>
        <w:br/>
        <w:t xml:space="preserve">8. The question of the precise delimitation of the relevant markets can, however, remain open insofar as the conclusions of the competitive analysis remain unchanged regardless of the segmentations considered.  </w:t>
        <w:br/>
        <w:t xml:space="preserve">9. In this case, the parties are active as buyers in the markets for the supply of food products intended for the food service industry (RHD).  </w:t>
        <w:br/>
        <w:t xml:space="preserve">2. GEOGRAPHIC MARKET  </w:t>
        <w:br/>
        <w:t xml:space="preserve">10. The decision-making practice considers that the upstream markets for the supply of food products are of national dimension. It has thus found that consumer preferences, tastes, and eating habits, price differences, variations in market shares held by the main operators according to the Member States, and the presence of manufacturer or distributor brands marketed only at the national level did not allow for a European dimension of the market to be retained.  </w:t>
        <w:br/>
        <w:t xml:space="preserve">11. There is no need to challenge the decision-making practice in the present operation.  </w:t>
        <w:br/>
        <w:t xml:space="preserve">B. THE DOWNSTREAM MARKETS FOR THE DISTRIBUTION OF FOOD PRODUCTS TO THE RHD  </w:t>
        <w:br/>
        <w:t xml:space="preserve">1. PRODUCT MARKET  </w:t>
        <w:br/>
        <w:t xml:space="preserve">12. Downstream, regarding the wholesale distribution of food products, the decision-making practice has recognized the existence of distinct markets by distribution channel: GMS, RHD, and the agri-food industry. In this case, the parties are active in the sector of food product distribution on the RHD channel.  </w:t>
        <w:br/>
        <w:t>13. The RHD is traditionally composed of independent professionals (cafés, hotels, restaurants, hereinafter "CHR"), restaurant chains (business catering, etc.), and communities (hospitals, military, schools, etc.) whose activity consists of preparing and offering their clientele a particular mode of catering forming a menu and generally including a starter, a main course, cheese, and/or a dessert.</w:t>
      </w:r>
    </w:p>
    <w:p>
      <w:r>
        <w:rPr>
          <w:b/>
        </w:rPr>
        <w:t>[Pages 4–6]</w:t>
      </w:r>
    </w:p>
    <w:p>
      <w:r>
        <w:t>14. Furthermore, a segmentation by type of clients was considered, distinguishing between "key accounts" (restaurant chains and certain communities) that negotiate bulk purchases on a national basis and smaller clients (notably CHR) whose supplies are made on a very short-term basis. However, the Competition Authority noted that, since the products marketed and the delivery conditions were identical for these two categories of clientele, there was no need to consider two distinct markets.</w:t>
      </w:r>
    </w:p>
    <w:p>
      <w:r>
        <w:t>15. Moreover, in its previous decision-making practice, the Competition Authority considered that it was appropriate to distinguish wholesale self-service warehouses (hereinafter "Cash and Carry") from traditional wholesale given the differences observed on both the demand and supply sides. It has nonetheless recently observed the existence of increasing competitive pressure from Cash and Carry without this being sufficiently significant to challenge the established delimitation.</w:t>
      </w:r>
    </w:p>
    <w:p>
      <w:r>
        <w:t>16. Finally, national decision-making practice distinguishes four main families of products within the wholesale food market: (1) fresh products, (2) beverages, (3) frozen products and ice creams, and (4) grocery products and confectionery (hereinafter, "dry products"). The demand from the food service industry generally encompasses all of these products, and wholesalers can offer a wide assortment of products. Nevertheless, many of them focus their activity on one of these families.</w:t>
      </w:r>
    </w:p>
    <w:p>
      <w:r>
        <w:t>17. In this case, only the "distribution" branch of the Bertrand group, through the company OBDH, engages in the distribution of beverages (wine, beer, spirits, sodas, water, coffee) and dry products intended for CHR and corporate catering.</w:t>
      </w:r>
    </w:p>
    <w:p>
      <w:r>
        <w:t>2. GEOGRAPHICAL MARKET</w:t>
      </w:r>
    </w:p>
    <w:p>
      <w:r>
        <w:t>18. Decision-making practice considers that the markets for the distribution of food products to the food service industry have a dual dimension: a national dimension, resulting from the characteristics of the demand from key accounts in the food service industry, which negotiate their supply conditions at the national level; and a local dimension leading to the determination of catchment areas where wholesalers compete to meet the demand of CHR and local shops. Decision-making practice has thus been able to analyze the effects of concentration operations within a radius around the platforms estimated between 60 and 300 kilometers depending on the case.</w:t>
      </w:r>
    </w:p>
    <w:p>
      <w:r>
        <w:t>19. In this case, the competitive analysis will be conducted at the national level and at the level of Île-de-France, the only area of activity for the distribution branch of the Bertrand group.</w:t>
      </w:r>
    </w:p>
    <w:p>
      <w:r>
        <w:t>20. Within the commercial catering sector, decision-making practice makes a distinction between (i) the low-cost fast food market (which includes fast-food restaurants, self-service establishments, and takeout/delivery services) and (ii) the more sophisticated catering market, including, in particular, table service.</w:t>
      </w:r>
    </w:p>
    <w:p>
      <w:r>
        <w:t>21. The European Commission has considered distinguishing a "on-the-go" catering market that includes fast food establishments (whether part of a chain or independent), pizzerias, cafés, coffee shops, sandwich shops, and takeout and delivery outlets. While leaving the question open, it has also considered distinguishing between chain restaurants and independents. It noted in this regard that large chains offer a guarantee of notoriety, particularly in terms of service quality and consistency in menus regardless of location, whereas independents offer a more personalized service and greater flexibility.</w:t>
      </w:r>
    </w:p>
    <w:p>
      <w:r>
        <w:t>22. In this case, the notifying party proposes to retain a distinct market for large brasseries, namely the historic and typical Parisian establishments of traditional catering, characterized by a location in major tourist areas, a high capacity, a specific decor and menu, as well as extended hours.</w:t>
      </w:r>
    </w:p>
    <w:p>
      <w:r>
        <w:t>23. The question of the precise delimitation of the more sophisticated catering market may, however, remain open insofar as the conclusions of the competitive analysis remain unchanged regardless of the segmentations considered.</w:t>
      </w:r>
    </w:p>
    <w:p>
      <w:r>
        <w:t>24. The Bertrand group is active in the commercial catering market "outside of fast food," including establishments or brands such as Brasserie Lipp, Au Bureau, Café Leffe, cafeteria Eris, as well as in the fast food market with the brands Bert’s and Burger King. The Frères Blanc group primarily operates brasseries.</w:t>
      </w:r>
    </w:p>
    <w:p>
      <w:r>
        <w:t>25. The operation therefore results in an overlap of activities in the general commercial catering market. In this case, the analysis will be conducted on the general commercial catering market, on the more sophisticated catering market with table service, and finally on the considered segment of large Parisian brasseries, the most conservative hypothesis.</w:t>
      </w:r>
    </w:p>
    <w:p>
      <w:r>
        <w:t>2. GEOGRAPHICAL MARKET</w:t>
      </w:r>
    </w:p>
    <w:p>
      <w:r>
        <w:t>26. Regarding geographical delimitation, national competition authorities have observed that competition in the commercial catering market occurs in local catchment areas, which practically correspond to the urban area. However, decision-making practice, while leaving the question open, has considered the existence of a dual dimension of the commercial catering market: (i) a national dimension within which the location strategies and advertising policies of large brands are defined, and (ii) a local dimension within which the consumer compares the different offers available to them in the catchment area.</w:t>
      </w:r>
    </w:p>
    <w:p>
      <w:r>
        <w:t>27. In this case, the activities of the parties overlap only in the Parisian market for more sophisticated commercial catering with table service. The analysis will thus be conducted at the national and local levels, at the level of the Paris urban area and by district concerning the segment of large Parisian brasseries, the most conservative hypothesis.</w:t>
      </w:r>
    </w:p>
    <w:p>
      <w:r>
        <w:t>III. Competitive Analysis</w:t>
      </w:r>
    </w:p>
    <w:p>
      <w:r>
        <w:t>A. HORIZONTAL EFFECTS</w:t>
      </w:r>
    </w:p>
    <w:p>
      <w:r>
        <w:t>1. ON MARKET SHARE ESTIMATES</w:t>
      </w:r>
    </w:p>
    <w:p>
      <w:r>
        <w:t>28. The market shares of the parties and those of their competitors are provided in value on the upstream and downstream national markets.</w:t>
      </w:r>
    </w:p>
    <w:p>
      <w:r>
        <w:t>29. Regarding local downstream markets, the estimation of the market shares of the parties and their competitors faces the unavailability of turnover figures achieved by competing establishments in each area, either because they are independent stores that are not required to file their annual accounts, or because they involve non-public data.</w:t>
      </w:r>
    </w:p>
    <w:p>
      <w:r>
        <w:t>30. Given these methodological difficulties, local market shares alternatively derive from an estimate of the total Parisian turnover of each of the two concerned market segments or from a calculation based on the number of sales points of the main operators present in Paris.</w:t>
      </w:r>
    </w:p>
    <w:p>
      <w:r>
        <w:t>31. Regarding the scope of the parties' restaurants taken into account for the analysis of the commercial catering markets, the Authority considered in its recent decision n°15-DCC-170 that the standard franchise contracts of the Burger King and Quick networks tightly frame the commercial policy of the franchisees, which must therefore be integrated into the market power of the Bertrand group. There is no reason to challenge this analysis during the examination of the present operation.</w:t>
      </w:r>
    </w:p>
    <w:p>
      <w:r>
        <w:t>2. UPSTREAM SUPPLY MARKET</w:t>
      </w:r>
    </w:p>
    <w:p>
      <w:r>
        <w:t>32. The notifying party estimates the shares of the new entity to be less than [0-5]% in the upstream markets for the supply of food products. This estimate includes all</w:t>
      </w:r>
    </w:p>
    <w:p>
      <w:r>
        <w:rPr>
          <w:b/>
        </w:rPr>
        <w:t>[Pages 7–8]</w:t>
      </w:r>
    </w:p>
    <w:p>
      <w:r>
        <w:t>of the establishments of the brands owned by the parties and operated under franchise. It follows that the operation is not likely to confer significant purchasing power to the new entity and therefore does not harm competition in the upstream markets.</w:t>
      </w:r>
    </w:p>
    <w:p>
      <w:r>
        <w:t>3. DOWNSTREAM MARKET OF COMMERCIAL RESTAURANT</w:t>
      </w:r>
    </w:p>
    <w:p>
      <w:r>
        <w:t>33. The operation results in an overlap of activities of the parties in the only segment of commercial restaurants and more particularly the market for more sophisticated dining with table service.</w:t>
      </w:r>
    </w:p>
    <w:p>
      <w:r>
        <w:t>a) At the national level</w:t>
      </w:r>
    </w:p>
    <w:p>
      <w:r>
        <w:t>34. The notifying party estimates the market share held by the new entity to be approximately [0-5]% of the overall commercial restaurant market in France and [0-5]% of the only segment of more sophisticated dining with table service.</w:t>
      </w:r>
    </w:p>
    <w:p>
      <w:r>
        <w:t>35. The commercial restaurant sector is particularly fragmented: following the operation, the Bertrand group will remain subject to competition from numerous chains and independent restaurants, notably the Flo, Gérard Joulie, Richard, Costes, and Beaumarly groups.</w:t>
      </w:r>
    </w:p>
    <w:p>
      <w:r>
        <w:t>b) At the local level</w:t>
      </w:r>
    </w:p>
    <w:p>
      <w:r>
        <w:t>The operation results in an overlap of activities between the restaurants of the acquirer and the target only in Paris (75).</w:t>
      </w:r>
    </w:p>
    <w:p>
      <w:r>
        <w:t>On the markets of commercial restaurants and more sophisticated dining with table service</w:t>
      </w:r>
    </w:p>
    <w:p>
      <w:r>
        <w:t>36. Regarding the market for commercial restaurants, the notifying party estimates that the establishments owned by the new entity will represent less than [0-5]% of the Parisian commercial restaurant market, which comprises approximately 13,800 establishments. According to the estimates provided, the market share of the new entity in value will be less than [0-5]%.</w:t>
      </w:r>
    </w:p>
    <w:p>
      <w:r>
        <w:t>37. Similarly, the notifying party estimates that the restaurants owned by the new entity will represent less than [0-5]% of the market for more sophisticated dining with table service, which comprises approximately 8,800 Parisian establishments. Estimated in value, the position of the new entity will be less than [5-10]%.</w:t>
      </w:r>
    </w:p>
    <w:p>
      <w:r>
        <w:t>38. The Bertrand group will also remain subject to competition from numerous establishments, notably from the five national brands mentioned above.</w:t>
      </w:r>
    </w:p>
    <w:p>
      <w:r>
        <w:t>On a potential segment of large Parisian brasseries.</w:t>
      </w:r>
    </w:p>
    <w:p>
      <w:r>
        <w:t>39. The notifying party estimates that the new entity will represent [20-30]% of a potential segment of large Parisian brasseries, with 20 establishments out of the 100 large brasseries counted in Paris. At the level of the Parisian districts, the operation will result in an overlap only in the 6th district where the new entity will own 3 establishments out of 15.</w:t>
      </w:r>
    </w:p>
    <w:p>
      <w:r>
        <w:t>40. Given the above, the operation is not likely to harm competition through horizontal effects in the commercial restaurant markets.</w:t>
      </w:r>
    </w:p>
    <w:p>
      <w:r>
        <w:t>B. VERTICAL EFFECTS</w:t>
      </w:r>
    </w:p>
    <w:p>
      <w:r>
        <w:t>41. The Bertrand group, through the company OBDH, is active in the beverage distribution market for the food service industry (RHF). The operation thus strengthens the vertical integration of the new entity. Nevertheless, decision-making practice generally considers that a risk of vertical effect can be ruled out as long as the shares of the company resulting from the operation in the relevant markets do not exceed 30%.</w:t>
      </w:r>
    </w:p>
    <w:p>
      <w:r>
        <w:t>42. In this case, the notifying party argues that it is not planned for the target company to source beverages from OBDH following the operation. Furthermore, according to its estimates, OBDH represents [5-10]% of the French beverage distribution market for the RHF and less than [5-10]% of the regional Île-de-France market.</w:t>
      </w:r>
    </w:p>
    <w:p>
      <w:r>
        <w:t>43. Considering these various elements, the present operation is not likely to harm competition through vertical effects.</w:t>
      </w:r>
    </w:p>
    <w:p>
      <w:r>
        <w:t>DECIDES</w:t>
      </w:r>
    </w:p>
    <w:p>
      <w:r>
        <w:t>Sole Article: The operation notified under number 16-012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