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https://www.autoritedelaconcurrence.fr/fr/decision-de-controle-des-concentrations/relative-la-prise-de-controle-exclusif-de-la-societe-167</w:t>
      </w:r>
    </w:p>
    <w:p>
      <w:r>
        <w:t>Pages translated : 5</w:t>
      </w:r>
    </w:p>
    <w:p/>
    <w:p>
      <w:r>
        <w:rPr>
          <w:b/>
        </w:rPr>
        <w:t>[Pages 1–3]</w:t>
      </w:r>
    </w:p>
    <w:p>
      <w:r>
        <w:t xml:space="preserve">FRENCH REPUBLIC  </w:t>
        <w:br/>
        <w:t xml:space="preserve">Decision No. 16-DCC-52 of April 12, 2016  </w:t>
        <w:br/>
        <w:t xml:space="preserve">regarding the exclusive control of the company Goûters Magiques  </w:t>
        <w:br/>
        <w:t>by the Norac group</w:t>
      </w:r>
    </w:p>
    <w:p>
      <w:r>
        <w:t xml:space="preserve">The Competition Authority,  </w:t>
        <w:br/>
        <w:t xml:space="preserve">Having regard to the notification file sent to the merger service on January 28, 2016, and declared complete on March 30, 2016, regarding the exclusive control of the company Goûters Magiques by the Norac group, formalized by a share transfer agreement dated June 29, 2015;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w:t>
        <w:br/>
        <w:t xml:space="preserve">1. Norac is a public limited company that holds several dozen subsidiaries, primarily active in the agri-food industry and more specifically in the activities of snacking (fresh and ultra-fresh), catering and prepared vegetables, and industrial bakery and pastries, including Goûters Magiques, co-controlled with the agri-food group Galapagos.  </w:t>
        <w:br/>
        <w:t xml:space="preserve">2. Goûters Magiques is a simplified joint-stock company that holds the subsidiaries Christian Faure Entreprise, Le Ster, Gaillard Pâtissier, and Armor Délices, specialized in the manufacturing and commercialization of industrial pastry products. Goûters Magiques is currently held at 40.2% by Norac, at 40.2% by the Galapagos group, with the remaining capital held by three financial shareholders (CM-CIC Investissement, Unexo, and Idia Développement) each at 6.52%. The creation of the joint venture Goûters Magiques by Norac and Galapagos was authorized by the Minister of Economy in August 2007.  </w:t>
        <w:br/>
        <w:t xml:space="preserve">3. The current operation, formalized by a share transfer agreement from Galapagos to Norac, dated June 29, 2015, thus increases Norac's participation in the capital of Goûters Magiques from 40.2% to 80.4%. The balance of the capital will remain held in the same proportions by the three historical financial partners of Goûters Magiques, CM-CIC Investissement, Unexo, and Idia Développement, who are not in a position to exert decisive influence over the strategic decisions of Goûters Magiques.  </w:t>
        <w:br/>
        <w:t xml:space="preserve">4. As it results in the transition from joint control to exclusive control by Norac over Goûters Magiques and its four subsidiaries, the notified operation constitutes a concentration within the meaning of Article L.430-1 of the Commercial Code.  </w:t>
        <w:br/>
        <w:t>5. The concerned companies together achieve a total turnover excluding taxes on a global scale of more than 150 million euros (Norac: […] euros for the fiscal year ending December 31, 2014; Goûters Magiques: […] euros for the same fiscal year). At least two of these companies achieve a turnover in France exceeding 50 million euros (Norac: […] euros for the fiscal year ending December 31, 2014; Goûters Magiques: […] euros for the same fiscal year). Given these turnover figures,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 xml:space="preserve">6. The parties are simultaneously present in the industrial bakery, pastry, and viennoiserie sector.  </w:t>
        <w:br/>
        <w:t xml:space="preserve">A. THE PRODUCT MARKETS  </w:t>
        <w:br/>
        <w:t xml:space="preserve">7. In the industrial bakery, pastry, and viennoiserie sector (hereinafter "BVP"), decisional practice makes a first distinction between (i) bakery (breads and bread substitutes), (ii) viennoiserie (croissants, pains au chocolat, pains aux raisins, turnovers, etc.), and (iii) pastry; as well as a sub-segmentation between fresh products and frozen products. Regarding the latter market, which is the only one concerned by the present operation, national decisional practice has considered that a distinction between industrial biscuits and industrial pastries (or preserved pastries) appears pertinent, while leaving the question open.  </w:t>
        <w:br/>
        <w:t xml:space="preserve">8. Furthermore, an additional segmentation based on the type of recipe or specialty has been considered. Indeed, preserved pastries include various products, such as madeleines, pancakes, waffles, pound cakes, cakes, "brownies," mini-filled type cakes, or regional specialties like Breton galettes.  </w:t>
        <w:br/>
        <w:t xml:space="preserve">9. National competition authorities have, however, highlighted, on the supply side, the existence of substitutability between these different recipes insofar as the production lines for preserved pastries can be easily used for the realization of different recipes. The modification of the production tool for preserved pastries essentially involves a substitution of molds, which, depending on the required format, necessitates an investment of 30,000 to 80,000 euros, which remains a limited investment compared to the total cost of a production line that varies between 500,000 euros and 5 million euros.  </w:t>
        <w:br/>
        <w:t xml:space="preserve">10. On the demand side, decisional practice has considered, while leaving the question open, that the final consumer largely arbitrates between the different products comprising the industrial pastry category.  </w:t>
        <w:br/>
        <w:t xml:space="preserve">11. Finally, the segmentation of these markets based on the distribution channel (GMS, RHF) as well as their commercial positioning regarding the GMS channel (MDF, MDD, MPP) has also been considered.  </w:t>
        <w:br/>
        <w:t xml:space="preserve">12. In any case, the question of the precise delimitation of these markets can be left open as the conclusions of the competitive analysis remain unchanged.  </w:t>
        <w:br/>
        <w:t xml:space="preserve">B. THE GEOGRAPHICAL MARKETS  </w:t>
        <w:br/>
        <w:t xml:space="preserve">13. In the food sector, competition authorities traditionally consider markets as having a national dimension. Consumer preferences, tastes, and habits, price differences, variations in market shares of operators in different countries, and the strong presence of national brands generally justify this delimitation.  </w:t>
        <w:br/>
        <w:t>14. In the BVP sector, decisional practice has thus retained a national dimension for the industrial pastry market, which there is no reason to challenge in this case.</w:t>
      </w:r>
    </w:p>
    <w:p>
      <w:r>
        <w:rPr>
          <w:b/>
        </w:rPr>
        <w:t>[Pages 4–5]</w:t>
      </w:r>
    </w:p>
    <w:p>
      <w:r>
        <w:t>III. Competitive Analysis</w:t>
      </w:r>
    </w:p>
    <w:p>
      <w:r>
        <w:t>15. Norac and Galapagos having decided to unwind their commercial partnership established in 2007 with the creation of Goûters Magiques, the operation consists of a transition from joint control to exclusive control by Norac over Goûters Magiques.</w:t>
      </w:r>
    </w:p>
    <w:p>
      <w:r>
        <w:t>16. The transition from joint control to exclusive control is generally not likely to significantly alter the conditions of competition. Nevertheless, the competitive analysis must be conducted taking into account the parties' positions in the markets, their potential strengthening as a result of the operation, and their incentives to change their competitive behaviors. In certain cases, which notably involve parties in a competitive situation prior to the concentration, the transition from joint control to exclusive control has been subject to thorough examination.</w:t>
      </w:r>
    </w:p>
    <w:p>
      <w:r>
        <w:t>17. In this case, Norac was not active in the same markets as Goûters Magiques prior to the operation. However, Norac being active in the related markets of industrial bakery, industrial pastry, and fresh industrial pastry, and Goûters Magiques holding a significant market share in the crepe segment under MDF (approximately [50-60] %), the operation is likely to lead to conglomerate effects. Indeed, Norac's incentive to link the sales of these BVP products intended for GMS or RHF is likely to change as a result of the operation.</w:t>
      </w:r>
    </w:p>
    <w:p>
      <w:r>
        <w:t>18. Any competitive risk can, however, be ruled out for several reasons. First, Norac's market share in the markets of industrial bakery and industrial pastry where it is solely active is below 25%, regardless of the segmentation considered. Only Goûters Magiques holds a significant value position, estimated at approximately [50-60] % in the crepe segment under MDF, which several new entrants have also penetrated in 2015: Paysan Breton, Saint-Michel, and Bonne Maman.</w:t>
      </w:r>
    </w:p>
    <w:p>
      <w:r>
        <w:t>19. Second, Norac faces numerous competitors who have brands of equivalent notoriety in the BVP product markets, such as, for example, Harry’s and Jacquet for industrial bakery, Harry’s, Pasquier, or La fournée dorée for industrial pastry, and Brossard/Jacquet (brands Savane and Brossard), Groupe Saint Michel (brands Saint-Michel and Bonne Maman), Mondelez (brands Lu and Milka), or Pâtisserie Gourmande (brand Ker-Cadelac) for industrial pastry.</w:t>
      </w:r>
    </w:p>
    <w:p>
      <w:r>
        <w:t>20. Third, GMS and RHD hold sufficient counter-power for these products to offset the effect of holding a wider range of BVP products, which does not appear to be a decisive competitive advantage in this sector where several competitors, such as Brossard, Jacquet, Pasquier, or Groupe Saint Michel, also hold extensive product ranges.</w:t>
      </w:r>
    </w:p>
    <w:p>
      <w:r>
        <w:t>21. Given these elements, the operation is not likely to harm competition in the BVP product markets, particularly through conglomerate effects.</w:t>
      </w:r>
    </w:p>
    <w:p>
      <w:r>
        <w:t>DECIDES</w:t>
      </w:r>
    </w:p>
    <w:p>
      <w:r>
        <w:t>Sole Article: The operation notified under number 16-022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