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https://www.autoritedelaconcurrence.fr/fr/decision-de-controle-des-concentrations/relative-la-prise-de-controle-exclusif-de-la-societe-168</w:t>
      </w:r>
    </w:p>
    <w:p>
      <w:r>
        <w:t>Pages translated : 6</w:t>
      </w:r>
    </w:p>
    <w:p/>
    <w:p>
      <w:r>
        <w:rPr>
          <w:b/>
        </w:rPr>
        <w:t>[Pages 1–3]</w:t>
      </w:r>
    </w:p>
    <w:p>
      <w:r>
        <w:t xml:space="preserve">FRENCH REPUBLIC  </w:t>
        <w:br/>
        <w:t xml:space="preserve">Decision No. 16-DCC-57 of April 22, 2016  </w:t>
        <w:br/>
        <w:t xml:space="preserve">regarding the exclusive control of the company Financière Parcours  </w:t>
        <w:br/>
        <w:t>by the company Temsys</w:t>
      </w:r>
    </w:p>
    <w:p>
      <w:r>
        <w:t xml:space="preserve">The Competition Authority,  </w:t>
        <w:br/>
        <w:t xml:space="preserve">Having regard to the notification file submitted in full to the concentrations service on March 23, 2016, regarding the exclusive control of the activities of the company Financière Parcours by the company Temsys, a subsidiary of Société Générale, formalized by a share acquisition agreement signed on February 24,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Temsys, whose trade name is ALD Automotive (hereinafter, "ALD"), is a company specialized in long-term leasing (hereinafter, "LLD") and the management of "multibrand" vehicle fleets in France and Europe. ALD provides its clients with multibrand vehicles for a period exceeding one year, the leasing of which may include a complete range of services such as maintenance, tire management, fuel consumption, insurance, provision of replacement vehicles, as well as a short-term rental service for its LLD clients with a temporary and occasional need for vehicles. Additionally, ALD also has activities in the sector of selling used vehicles at the end of LLD contracts. ALD is controlled by the Société Générale group, which is a credit institution active in the sectors of retail banking, asset management, and financing and investment banking. Furthermore, Société Générale is present in the field of financial services, and more specifically in the sectors of consumer credit, insurance, long-term leasing and fleet management of vehicles, and the financing of sales and professional equipment assets.  </w:t>
        <w:br/>
        <w:t xml:space="preserve">2. Financière Parcours (hereinafter, "Parcours") is a company active in providing automotive services to businesses. Parcours is primarily active in the LLD sector in France but also engages in the sale of used vehicles and, to a lesser extent, vehicle repair, almost exclusively for its LLD clients.  </w:t>
        <w:br/>
        <w:t xml:space="preserve">3. The transaction, formalized by a share acquisition agreement signed on February 24, 2016, involves the acquisition by ALD of the entire share capital of Parcours.  </w:t>
        <w:br/>
        <w:t xml:space="preserve">4. As it results in the exclusive control of Parcours by ALD, the transaction constitutes a concentration within the meaning of Article L. 430-1 of the Commercial Code.  </w:t>
        <w:br/>
        <w:t>5. The concerned companies together achieve a total worldwide turnover excluding taxes of more than 150 million euros (Société Générale: […] euros for the fiscal year ending December 31, 2014; Parcours: […] euros for the fiscal year ending December 31, 2014). Each of these companies has achieved a total turnover excluding taxes in France exceeding 50 million euros (Société Générale: […] euros for the fiscal year ending December 31, 2014; Parcours: […] euros for the fiscal year ending December 31, 2014). The notification thresholds of Article 1 paragraph 2 of Council Regulation (EC) No. 139/2004 of January 20, 2004, are exceeded, but since each of the concerned companies generates more than two-thirds of its turnover in the Union in France,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6. The activities of the parties overlap in the market for LLD and vehicle fleet management (A) as well as in the market for the sale of used vehicles (B).  </w:t>
        <w:br/>
        <w:t xml:space="preserve">7. The market for automobile fleet insurance (C), in which only the Société Générale group is active, is also concerned by the transaction due to its vertical links with the main activity of Parcours.  </w:t>
        <w:br/>
        <w:t xml:space="preserve">A. LLD AND VEHICLE FLEET MANAGEMENT  </w:t>
        <w:br/>
        <w:t xml:space="preserve">8. National and European practice considers that there is a market for LLD and fleet management consisting of the provision of a vehicle for a period exceeding one year, which includes ancillary services such as assistance, repair, provision of a fuel card, etc.  </w:t>
        <w:br/>
        <w:t xml:space="preserve">9. The European Commission and the Authority have considered a market segmentation by distinguishing:  </w:t>
        <w:br/>
        <w:t xml:space="preserve">- "funded fleet management" consisting of the provision of vehicles accompanied by services specific to fleet management (assistance, repair, tires, etc.);  </w:t>
        <w:br/>
        <w:t xml:space="preserve">- "unfunded fleet management," or delegated fleet management, consisting solely of the management of the vehicle fleet by an external provider, with the client company retaining ownership of its fleet.  </w:t>
        <w:br/>
        <w:t xml:space="preserve">10. The LLD market has also been segmented between the provision of vehicles over and under 3.5 tonnes.  </w:t>
        <w:br/>
        <w:t xml:space="preserve">11. Both European and national decision-making practice considers that the market is at least of national dimension.  </w:t>
        <w:br/>
        <w:t xml:space="preserve">12. In the present case, it is not necessary to rule on these different segmentations, as the conclusions of the competitive analysis remain unchanged regardless of the delimitation adopted.  </w:t>
        <w:br/>
        <w:t xml:space="preserve">B. THE SALE OF USED VEHICLES  </w:t>
        <w:br/>
        <w:t xml:space="preserve">13. According to European and national decision-making practice, the market for the sale of used vehicles constitutes a relevant product market. A segmentation based on the type of clientele (individuals or professionals) has also been opened. In this case, it is not necessary to rule on these market delimitations, as the conclusions of the competitive analysis remain unchanged regardless of the segmentations considered.  </w:t>
        <w:br/>
        <w:t xml:space="preserve">14. The geographical dimension of the market for the sale of used vehicles is considered by decision-making practice to be local.  </w:t>
        <w:br/>
        <w:t xml:space="preserve">15. However, the parties consider that the sale of used vehicles resulting from LLD is of national dimension due to the extensive use of the internet channel in their sales. The argument of the use by LLD providers of specific distribution channels was indeed raised by the parties in a transaction in the same sector in 2008.  </w:t>
        <w:br/>
        <w:t>16. In the present case, it is not necessary to rule on these market delimitations, as the conclusions of the competitive analysis remain unchanged regardless of the segmentations considered.</w:t>
      </w:r>
    </w:p>
    <w:p>
      <w:r>
        <w:rPr>
          <w:b/>
        </w:rPr>
        <w:t>[Pages 4–6]</w:t>
      </w:r>
    </w:p>
    <w:p>
      <w:r>
        <w:t>C. AUTOMOBILE FLEET INSURANCE</w:t>
      </w:r>
    </w:p>
    <w:p>
      <w:r>
        <w:t>17. Decision-making practice has identified a market for automobile fleet insurance distinct from the market for corporate automobile insurance.</w:t>
      </w:r>
    </w:p>
    <w:p>
      <w:r>
        <w:t>18. This distinction is based on the fact that companies with a fleet of vehicles have different automobile insurance needs, particularly because they require a comprehensive approach that deviates from the vehicle-by-vehicle approach based on the bonus/malus system for traffic risks. Thus, fleet contracts are likely to cover multiple risks related to vehicles (traffic, professional civil liability, property damage, transported goods).</w:t>
      </w:r>
    </w:p>
    <w:p>
      <w:r>
        <w:t>19. According to previous decision-making practice, the market for automobile fleet insurance is of national dimension.</w:t>
      </w:r>
    </w:p>
    <w:p>
      <w:r>
        <w:t>III. Competitive Analysis</w:t>
      </w:r>
    </w:p>
    <w:p>
      <w:r>
        <w:t>A. HORIZONTAL EFFECTS</w:t>
      </w:r>
    </w:p>
    <w:p>
      <w:r>
        <w:t>20. The parties are simultaneously active in the LLD market and in the market for the sale of used vehicles.</w:t>
      </w:r>
    </w:p>
    <w:p>
      <w:r>
        <w:t>1. THE LLD MARKET AND AUTOMOBILE FLEET MANAGEMENT</w:t>
      </w:r>
    </w:p>
    <w:p>
      <w:r>
        <w:t>21. Following the transaction, the market share of the new entity in terms of LLD is estimated by the parties to be 27.3% (23.3% for ALD and 4.1% for Financière Parcours).</w:t>
      </w:r>
    </w:p>
    <w:p>
      <w:r>
        <w:t>National overall LLD market and vehicle fleet management services as of December 30, 2015</w:t>
      </w:r>
    </w:p>
    <w:p>
      <w:r>
        <w:t>Operator                Number of vehicles      Market share</w:t>
        <w:br/>
        <w:t>ALD Automotive          360,222                23.3%</w:t>
        <w:br/>
        <w:t>Parcours                62,710                 4.1%</w:t>
        <w:br/>
        <w:t>New entity              422,932                27.3%</w:t>
        <w:br/>
        <w:t>Diac                    300,089                19.4%</w:t>
      </w:r>
    </w:p>
    <w:p>
      <w:r>
        <w:t>9 See notably the letter from the Minister of Economy regarding a concentration in the automobile fleet insurance sector of at least five vehicles dated November 14, 2002, and the letter from the Minister of Economy regarding a concentration in the corporate automobile fleet insurance sector dated December 2, 2002.</w:t>
      </w:r>
    </w:p>
    <w:p>
      <w:r>
        <w:t>10 See notably the letter from the Minister of Economy dated November 14, 2002, cited above.</w:t>
      </w:r>
    </w:p>
    <w:p>
      <w:r>
        <w:t>Operator                Number of vehicles      Market share</w:t>
        <w:br/>
        <w:t>Arval                   290,494                18.8%</w:t>
        <w:br/>
        <w:t>Crédipar                225,336                14.6%</w:t>
        <w:br/>
        <w:t>Leaseplan               97,434                 6.3%</w:t>
        <w:br/>
        <w:t>Alphabet                81,967                 5.3%</w:t>
        <w:br/>
        <w:t>VW                      45,573                 2.9%</w:t>
        <w:br/>
        <w:t>Others                  82,549                 5.3%</w:t>
        <w:br/>
        <w:t>Total top 12           1,546,374              100%</w:t>
      </w:r>
    </w:p>
    <w:p>
      <w:r>
        <w:t>Source: National Union of Long-Term Vehicle Rental Companies</w:t>
      </w:r>
    </w:p>
    <w:p>
      <w:r>
        <w:t>22. In the only segment of the market that involves an overlap of activities between the parties, "funded fleet management," the market share of the new entity has been estimated at 21.8%* (16.7% for Automotive and 5.1% for Financière Parcours). In this segment, the new entity will remain subject to the pressure of numerous competitors owned by automobile manufacturers and/or financial institutions (Diac/Renault: 16.3%*, Arval/BNP: 22.7%*, Crédipar/PSA/Santander: 16.4%*).</w:t>
      </w:r>
    </w:p>
    <w:p>
      <w:r>
        <w:t>23. Furthermore, the clients are predominantly significant-sized companies that use multiple suppliers for their LLD needs, putting them in competition through calls for tenders. Additionally, the notifying party argues that, while the average duration of an LLD contract is just under 4 years, clients typically re-tender the lessors each year when renewing part of their fleets, which is likely to make the market share of the new entity contestable.</w:t>
      </w:r>
    </w:p>
    <w:p>
      <w:r>
        <w:t>24. Therefore, in light of these various elements, the transaction is not likely to result in horizontal effects on the LLD market.</w:t>
      </w:r>
    </w:p>
    <w:p>
      <w:r>
        <w:t>2. THE MARKET FOR THE SALE OF USED VEHICLES</w:t>
      </w:r>
    </w:p>
    <w:p>
      <w:r>
        <w:t>25. In the segment of the sale of used vehicles resulting from LLD on a national scale, the new entity would hold a market share of [10-20]%. The parties will face competition from players such as Diac ([20-30]%), Crédipar ([10-20]%), and Arval/GE ([10-20]%).</w:t>
      </w:r>
    </w:p>
    <w:p>
      <w:r>
        <w:t>26. In the overall market for the sale of used vehicles, including professional and private sellers, the market share of the new entity would amount to [0-5]% at the national level. Furthermore, the market share of the new entity does not exceed [0-5]% in each of the departments where the parties are simultaneously active.</w:t>
      </w:r>
    </w:p>
    <w:p>
      <w:r>
        <w:t>* Correction of material error.</w:t>
      </w:r>
    </w:p>
    <w:p>
      <w:r>
        <w:t>27. Finally, the new entity will face competition, both nationally and locally, from many types of operators: in addition to LLD players, short-term rental companies (Europcar, Avis, Hertz, etc.), automobile dealers and branches (Renault Occasions, Peugeot Occasions, Ford Mustière Automobiles, etc.), car merchants (Aramis, Distinxion, Phoebus, etc.), auction houses (VP Auto, BCAuto Enchères, etc.), and independent repairers are active in these markets. Therefore, in light of these various elements, the transaction is not likely to harm competition in the market for the sale of used vehicles.</w:t>
      </w:r>
    </w:p>
    <w:p>
      <w:r>
        <w:t>B. VERTICAL EFFECTS</w:t>
      </w:r>
    </w:p>
    <w:p>
      <w:r>
        <w:t>28. A vertical concentration can restrict competition by making access to the markets where the new entity will be active more difficult, or even by eliminating competitors or penalizing them through increased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Competition Authority considers that it is unlikely that a company with a market share of less than 30% in a given market can lock in a downstream or upstream market.</w:t>
      </w:r>
    </w:p>
    <w:p>
      <w:r>
        <w:t>29. In this case, Sogessur, a subsidiary of the Société Générale group, holds an estimated market share of [0-5]% in the automobile fleet insurance market. Before the transaction, Sogessur only covers a small portion of ALD's vehicles ([5-10]%), with the latter also relying on other players in the insurance sector such as Covea Fleet* or Generali.</w:t>
      </w:r>
    </w:p>
    <w:p>
      <w:r>
        <w:t>30. Furthermore, Sogessur faces competition from many much larger players, such as insurance companies (Allianz, AXA) and subsidiaries of other financial institutions.</w:t>
      </w:r>
    </w:p>
    <w:p>
      <w:r>
        <w:t>31. Therefore, in light of these various elements, the transaction is not likely to result in vertical effects on the relevant markets.</w:t>
      </w:r>
    </w:p>
    <w:p>
      <w:r>
        <w:t>DECIDES</w:t>
      </w:r>
    </w:p>
    <w:p>
      <w:r>
        <w:t>Single Article: The transaction notified under number 16-038 is authorized.</w:t>
      </w:r>
    </w:p>
    <w:p>
      <w:r>
        <w:t>The President,</w:t>
        <w:br/>
        <w:t>Bruno Lasserre</w:t>
      </w:r>
    </w:p>
    <w:p>
      <w:r>
        <w:t>© Competition Authority</w:t>
      </w:r>
    </w:p>
    <w:p>
      <w:r>
        <w:t>* Correction of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