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https://www.autoritedelaconcurrence.fr/fr/decision-de-controle-des-concentrations/relative-la-prise-de-controle-exclusif-de-la-societe-170</w:t>
      </w:r>
    </w:p>
    <w:p>
      <w:r>
        <w:t>Pages translated : 5</w:t>
      </w:r>
    </w:p>
    <w:p/>
    <w:p>
      <w:r>
        <w:rPr>
          <w:b/>
        </w:rPr>
        <w:t>[Pages 1–3]</w:t>
      </w:r>
    </w:p>
    <w:p>
      <w:r>
        <w:t xml:space="preserve">FRENCH REPUBLIC  </w:t>
        <w:br/>
        <w:t xml:space="preserve">Decision No. 16-DCC-65 of May 9, 2016  </w:t>
        <w:br/>
        <w:t xml:space="preserve">regarding the exclusive control of the company Foncière de Paris  </w:t>
        <w:br/>
        <w:t xml:space="preserve">by the company Eurosic  </w:t>
        <w:br/>
        <w:t xml:space="preserve">The Competition Authority,  </w:t>
        <w:br/>
        <w:t xml:space="preserve">Having regard to the notification file submitted in full to the merger service on April 4, 2016,  </w:t>
        <w:br/>
        <w:t xml:space="preserve">regarding the exclusive control of the company Foncière de Paris by the company Eurosic,  </w:t>
        <w:br/>
        <w:t xml:space="preserve">formalized by a memorandum of understanding regarding the merger between Eurosic and Foncière de  </w:t>
        <w:br/>
        <w:t xml:space="preserve">Paris dated March 4, 2016, two share transfer agreements, respectively, from Allianz and  </w:t>
        <w:br/>
        <w:t xml:space="preserve">Generali as well as by contribution commitments from the main shareholders of Foncière  </w:t>
        <w:br/>
        <w:t xml:space="preserve">de Paris dated March 4, 2016;  </w:t>
        <w:br/>
        <w:t xml:space="preserve">Having regard to Book IV of the Commercial Code relating to price freedom and competition, and  </w:t>
        <w:br/>
        <w:t xml:space="preserve">notably its Articles L. 430-1 to L. 430-7;  </w:t>
        <w:br/>
        <w:t xml:space="preserve">Adopts the following decision:  </w:t>
        <w:br/>
        <w:t xml:space="preserve">I. The concerned companies and the operation  </w:t>
        <w:br/>
        <w:t xml:space="preserve">1. Eurosic is a real estate investment company listed on the Eurolist market of Euronext  </w:t>
        <w:br/>
        <w:t xml:space="preserve">Paris. It holds and manages a portfolio of real estate assets mainly consisting of  </w:t>
        <w:br/>
        <w:t xml:space="preserve">offices located in Paris, the Paris region, and major regional metropolitan areas. Eurosic  </w:t>
        <w:br/>
        <w:t xml:space="preserve">also holds assets in the leisure sector, warehouses, and housing.  </w:t>
        <w:br/>
        <w:t xml:space="preserve">2. Foncière de Paris is a real estate investment company listed on the Eurolist  </w:t>
        <w:br/>
        <w:t xml:space="preserve">market of Euronext Paris. It holds and manages a real estate portfolio primarily  </w:t>
        <w:br/>
        <w:t xml:space="preserve">composed of office real estate assets located almost exclusively in Île-de-France as well as  </w:t>
        <w:br/>
        <w:t xml:space="preserve">retail and warehouse properties. It is also active in the hospitality sector through the  </w:t>
        <w:br/>
        <w:t xml:space="preserve">ownership and management of nine hotels in Paris and the Paris region.  </w:t>
        <w:br/>
        <w:t xml:space="preserve">3. The notified operation, formalized by a memorandum of understanding and two share transfer  </w:t>
        <w:br/>
        <w:t xml:space="preserve">contracts dated March 4, 2016, consists primarily of the acquisition by Eurosic of  </w:t>
        <w:br/>
        <w:t xml:space="preserve">the stakes of Allianz (22.7%) and Generali (3.95%) in the capital of Foncière de Paris.  </w:t>
        <w:br/>
        <w:t xml:space="preserve">Subsequently, Eurosic will launch a mixed public offer during which the  </w:t>
        <w:br/>
        <w:t xml:space="preserve">main shareholders of Foncière de Paris will contribute their stakes to Eurosic  </w:t>
        <w:br/>
        <w:t xml:space="preserve">in accordance with their contribution commitments dated March 4, 2016. These two steps are  </w:t>
        <w:br/>
        <w:t xml:space="preserve">concurrent and pursue the same economic objective. Their interdependence explicitly results  </w:t>
        <w:br/>
        <w:t xml:space="preserve">from Article 3 of the Allianz share transfer agreement and the Generali share transfer  </w:t>
        <w:br/>
        <w:t xml:space="preserve">agreement, under the terms of which the contracts could be null and void if the mixed public offer  </w:t>
        <w:br/>
        <w:t xml:space="preserve">is not filed by Eurosic before March 31, 2016, or in the event of its withdrawal of the offer.  </w:t>
        <w:br/>
        <w:t xml:space="preserve">Upon completion of the operation, Eurosic will hold between 79.15% and 98.43% of the  </w:t>
        <w:br/>
        <w:t xml:space="preserve">capital and voting rights of Foncière de Paris. As it results in the exclusive control of  </w:t>
        <w:br/>
        <w:t xml:space="preserve">Foncière de Paris by Eurosic, the notified operation constitutes a  </w:t>
        <w:br/>
        <w:t xml:space="preserve">concentration within the meaning of Article L. 430-1 of the Commercial Code.  </w:t>
        <w:br/>
        <w:t xml:space="preserve">4. The concerned companies together achieve a total worldwide turnover excluding tax of  </w:t>
        <w:br/>
        <w:t xml:space="preserve">more than 150 million euros (Eurosic: 137.5 million euros for the fiscal year ended  </w:t>
        <w:br/>
        <w:t xml:space="preserve">December 31, 2015; Foncière de Paris: […] euros for the fiscal year ended  </w:t>
        <w:br/>
        <w:t xml:space="preserve">December 31, 2015). They achieve in France a turnover exceeding 50 million  </w:t>
        <w:br/>
        <w:t xml:space="preserve">euros (Eurosic: 137.5 million euros for the fiscal year ended December 31, 2015; Foncière  </w:t>
        <w:br/>
        <w:t xml:space="preserve">de Paris: […] million euros for the fiscal year ended December 31, 2015). The thresholds for  </w:t>
        <w:br/>
        <w:t xml:space="preserve">control under Article L. 430-3 of the Commercial Code are therefore exceeded. Given these  </w:t>
        <w:br/>
        <w:t xml:space="preserve">turnover figures, the operation does not fall under the jurisdiction of the European Union. The  </w:t>
        <w:br/>
        <w:t xml:space="preserve">concentration is therefore subject to the provisions of Articles L. 430-3 and following of the  </w:t>
        <w:br/>
        <w:t xml:space="preserve">Commercial Code relating to economic concentration.  </w:t>
        <w:br/>
        <w:t xml:space="preserve">II. Delimitation of relevant markets  </w:t>
        <w:br/>
        <w:t xml:space="preserve">A. PRODUCT AND SERVICE MARKETS  </w:t>
        <w:br/>
        <w:t xml:space="preserve">5. National1 and European2 competition authorities have considered, while leaving  </w:t>
        <w:br/>
        <w:t xml:space="preserve">the question open, various segmentations in the real estate services sector according to  </w:t>
        <w:br/>
        <w:t xml:space="preserve">(i) the recipients of the services, the properties being intended either for individuals, with the  </w:t>
        <w:br/>
        <w:t xml:space="preserve">buildings concerned being for residential use, or for businesses, with the  </w:t>
        <w:br/>
        <w:t xml:space="preserve">buildings concerned being for commercial or professional use, (ii) the pricing method, between  </w:t>
        <w:br/>
        <w:t xml:space="preserve">free residential real estate and social or intermediate housing, the latter  </w:t>
        <w:br/>
        <w:t xml:space="preserve">falling within a specific regulatory framework in which the State plays an important role,  </w:t>
        <w:br/>
        <w:t xml:space="preserve">both in terms of financial aid and allocation of housing, (iii) the type of activity  </w:t>
        <w:br/>
        <w:t xml:space="preserve">carried out in the premises (offices, commercial premises, and other activity premises such as  </w:t>
        <w:br/>
        <w:t xml:space="preserve">warehouses or hotels), and (iv) the nature of the services or goods offered.  </w:t>
        <w:br/>
        <w:t xml:space="preserve">6. For this last segmentation, the following services have been identified:  </w:t>
        <w:br/>
        <w:t xml:space="preserve">(i) real estate promotion which includes the activities of construction and sale  </w:t>
        <w:br/>
        <w:t xml:space="preserve">of real estate;  </w:t>
        <w:br/>
        <w:t xml:space="preserve">1 See in particular the decisions of the Competition Authority No. 09-DCC-16 of June 22, 2009, regarding the merger between the Caisse  </w:t>
        <w:br/>
        <w:t xml:space="preserve">d’Épargne and Banque Populaire groups, No. 15-DCC-156 of December 7, 2015, regarding the joint control of a real estate asset for  </w:t>
        <w:br/>
        <w:t xml:space="preserve">office use by Sogecap and Prédica, No. 14-DCC-46 of April 1, 2014, regarding the joint control of an industrial real estate asset  </w:t>
        <w:br/>
        <w:t xml:space="preserve">in Moselle by Norges Bank and Prologis, as well as decision C2008-79 / Letter from the Minister of Economy, Industry and Employment  </w:t>
        <w:br/>
        <w:t xml:space="preserve">of August 22, 2008, to the advice of the companies CDC and Eurosic, regarding a concentration in the real estate sector, BOCCRF No. 8 bis  </w:t>
        <w:br/>
        <w:t xml:space="preserve">of October 23, 2008.  </w:t>
        <w:br/>
        <w:t xml:space="preserve">2 See the decisions of the European Commission COMP/M.2110 Deutsche Bank / SEI / JV of September 25, 2000, IV/M.2825 Fortis AG  </w:t>
        <w:br/>
        <w:t xml:space="preserve">SA / Bernheim-Comofi SA of July 9, 2002 COMP/M.3370 BNP Paribas/ARI of March 9, 2004.  </w:t>
        <w:br/>
        <w:t xml:space="preserve">2  </w:t>
        <w:br/>
        <w:t xml:space="preserve">(ii) the management of real estate assets for own account;  </w:t>
        <w:br/>
        <w:t xml:space="preserve">(iii) the management of real estate assets for third-party accounts (institutional investors,  </w:t>
        <w:br/>
        <w:t xml:space="preserve">primarily banks and insurance companies) which includes real estate portfolio advisory and  </w:t>
        <w:br/>
        <w:t xml:space="preserve">management (arbitrage and asset valuation), structuring of real estate investment operations, and  </w:t>
        <w:br/>
        <w:t xml:space="preserve">management of real estate assets and specialized investment vehicles  </w:t>
        <w:br/>
        <w:t xml:space="preserve">(notably real estate civil companies);  </w:t>
        <w:br/>
        <w:t xml:space="preserve">(iv) the administration of real estate properties which includes the management activities of  </w:t>
        <w:br/>
        <w:t xml:space="preserve">buildings on behalf of owners and can be segmented between rental management and  </w:t>
        <w:br/>
        <w:t xml:space="preserve">co-ownership management;  </w:t>
        <w:br/>
        <w:t xml:space="preserve">(v) real estate appraisal;  </w:t>
        <w:br/>
        <w:t xml:space="preserve">(vi) real estate advisory;  </w:t>
        <w:br/>
        <w:t xml:space="preserve">(vii) brokerage in real estate transactions for which brokerage  </w:t>
        <w:br/>
        <w:t xml:space="preserve">in purchase/sale operations is distinguished from brokerage in  </w:t>
        <w:br/>
        <w:t xml:space="preserve">rental operations.  </w:t>
        <w:br/>
        <w:t xml:space="preserve">7. In this case, the parties to the operation are simultaneously active in the markets for  </w:t>
        <w:br/>
        <w:t xml:space="preserve">the management for own account of real estate assets (housing, excluding  </w:t>
        <w:br/>
        <w:t xml:space="preserve">residential assets for social use) intended for individuals and businesses (offices,  </w:t>
        <w:br/>
        <w:t xml:space="preserve">retail3, and warehouses). Regarding commercial real estate assets, decision-making practice4, while leaving the  </w:t>
        <w:br/>
        <w:t xml:space="preserve">question open, has considered a segmentation between shopping centers and commercial premises at the foot of buildings. In this case, the parties to  </w:t>
        <w:br/>
        <w:t xml:space="preserve">the operation are not active in the same market segments: Eurosic owns and manages a  </w:t>
        <w:br/>
        <w:t xml:space="preserve">shopping center, while Foncière de Paris manages commercial premises at the foot of buildings.  </w:t>
        <w:br/>
        <w:t xml:space="preserve">8. The parties to the operation are also simultaneously present in the parking lot market for which  </w:t>
        <w:br/>
        <w:t xml:space="preserve">competition authorities have considered a market for paid parking lots, distinct from free parking,  </w:t>
        <w:br/>
        <w:t xml:space="preserve">residential parking, as well as business or private parking5. They have also considered, while leaving the  </w:t>
        <w:br/>
        <w:t xml:space="preserve">question open, distinguishing a market for parking spaces in airports for car rental agencies6. In this case, Eurosic owns […] parking spaces  </w:t>
        <w:br/>
        <w:t xml:space="preserve">[confidential] and is primarily rented to businesses ([…] %) and individuals. Foncière de Paris owns and manages [confidential] parking spaces rented to businesses  </w:t>
        <w:br/>
        <w:t xml:space="preserve">([…] %) and individuals.  </w:t>
        <w:br/>
        <w:t xml:space="preserve">9. The question of the exact delimitation of the markets can be left open, as the conclusions of  </w:t>
        <w:br/>
        <w:t xml:space="preserve">the competitive analysis remain unchanged regardless of the delimitations retained.  </w:t>
        <w:br/>
        <w:t xml:space="preserve">3 Eurosic also manages real estate assets for third parties, but SIIC de Paris is not active in this market.  </w:t>
        <w:br/>
        <w:t xml:space="preserve">4 See the decisions of the Competition Authority No. 11-DCC-178 of December 13, 2011, and No. 14-DCC-36 of March 18, 2014, and the letter from the  </w:t>
        <w:br/>
        <w:t xml:space="preserve">Minister of Economy C2007-52 of May 22, 2007.  </w:t>
        <w:br/>
        <w:t xml:space="preserve">5 See the decision of the European Commission COMP/M.2825 – Fortis AG SA / Bernheim-Comofi of July 9, 2002.  </w:t>
        <w:br/>
        <w:t xml:space="preserve">6 See the decisions of the European Commission COMP/M.7398 – Mirael / Ferrovial / NDH1 and COMP/M.4613 – Eurazeo SA / Apcoa  </w:t>
        <w:br/>
        <w:t xml:space="preserve">Parking Holdings GmbH of April 20, 2007.  </w:t>
        <w:br/>
        <w:t>3</w:t>
      </w:r>
    </w:p>
    <w:p>
      <w:r>
        <w:rPr>
          <w:b/>
        </w:rPr>
        <w:t>[Pages 4–5]</w:t>
      </w:r>
    </w:p>
    <w:p>
      <w:r>
        <w:t xml:space="preserve">B. GEOGRAPHIC MARKETS  </w:t>
        <w:br/>
        <w:t xml:space="preserve">10. Decision-making practice7 considers that markets related to the real estate sector are of local dimension, while leaving the question open. However, analysis has already been conducted at the national level for real estate services intended for businesses when operations were carried out by groups with a national scope following a strategy of establishment according to a territorial network logic.  </w:t>
        <w:br/>
        <w:t xml:space="preserve">11. For the Île-de-France region, the Minister of Economy noted that "the Paris region has particular properties of continuity of urban areas. Indeed, there is a vast, highly urbanized, and homogeneous area covering most of Île-de-France, served by a comprehensive transport network; the inhabitants are always able to arbitrate between different parts of the region. This substitutability leads to a convergence at the price level. Therefore, the regional level is the most appropriate for competitive analysis."8. For other regions, competition authorities have conducted their competitive analyses at the regional or sub-regional level.  </w:t>
        <w:br/>
        <w:t xml:space="preserve">12. In this case, the activities of the parties in the real estate services sector only overlap in Île-de-France, and more specifically in the departments of Paris (75) and Hauts-de-Seine (92) concerning offices. In the market segment of the ownership and management of retail spaces, the operation does not present any overlap of activity at the sub-national level: Eurosic owns and manages a shopping center located in Loir-et-Cher (41) and Foncière de Paris owns and manages commercial premises at the ground floor located in Paris (75) and Hauts-de-Seine (92). Similarly, in the market segment of the ownership and management of warehouses, the operation does not present any overlap of activity at the sub-national level: Foncière de Paris owns and manages warehouses located in the departments of Hauts-de-Seine (92), Seine-Saint-Denis (93), Val-de-Marne (94), and Essonne (91), while Eurosic is only present in Yvelines (78) and Seine-et-Marne (77). Finally, regarding activities related to parking lots, the parties to the operation own parking facilities in Île-de-France and Paris9.  </w:t>
        <w:br/>
        <w:t xml:space="preserve">13. The question of the exact geographical delimitation of the markets will, however, be left open, with the conclusions of the competitive analysis remaining unchanged, regardless of the delimitations retained.  </w:t>
        <w:br/>
        <w:t xml:space="preserve">III. Competitive Analysis  </w:t>
        <w:br/>
        <w:t xml:space="preserve">14. The notifying party estimates that following the operation, the new entity will hold a market share of less than [0-5] %, regardless of the market segment concerned and whatever the geographical dimension retained (national, regional, and departmental levels). In each of the relevant markets, numerous operators are present. Thus, in the market for the ownership and management of real estate assets for own account used as offices, the new entity will remain in competition with many national operators, such as Foncière des Régions, Gecina, Unibail, Silic France, Generali, GE Real Estate. In the market for the ownership and management for own account of residential housing, the new entity will continue to face competition notably from Gecina, Société Foncière de Lyon, and CDC.  </w:t>
        <w:br/>
        <w:t xml:space="preserve">15. In the market for the ownership and management of parking lots, the market shares of the parties to the operation would be below [0-5] % in Île-de-France, both individually and cumulatively for the new entity. In a potential market for parking lots in Paris, the market shares are estimated at [0-5] % for Eurosic and [0-5] % for Foncière de Paris.  </w:t>
        <w:br/>
        <w:t xml:space="preserve">16. Therefore, the operation is not likely to harm competition in the various markets of ownership and management for own account of real estate assets.  </w:t>
        <w:br/>
        <w:t xml:space="preserve">DECIDES  </w:t>
        <w:br/>
        <w:t xml:space="preserve">Sole Article: The operation notified under number 16-041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