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https://www.autoritedelaconcurrence.fr/fr/decision-de-controle-des-concentrations/relative-la-prise-de-controle-exclusif-de-la-societe-172</w:t>
      </w:r>
    </w:p>
    <w:p>
      <w:r>
        <w:t>Pages translated : 4</w:t>
      </w:r>
    </w:p>
    <w:p/>
    <w:p>
      <w:r>
        <w:rPr>
          <w:b/>
        </w:rPr>
        <w:t>[Pages 1–3]</w:t>
      </w:r>
    </w:p>
    <w:p>
      <w:r>
        <w:t xml:space="preserve">FRENCH REPUBLIC  </w:t>
        <w:br/>
        <w:t xml:space="preserve">Decision No. 16-DCC-84 of June 24, 2016  </w:t>
        <w:br/>
        <w:t xml:space="preserve">regarding the exclusive control of the company Foncière de Paris  </w:t>
        <w:br/>
        <w:t>by the company Gecina</w:t>
      </w:r>
    </w:p>
    <w:p>
      <w:r>
        <w:t xml:space="preserve">The Competition Authority,  </w:t>
        <w:br/>
        <w:t xml:space="preserve">Having regard to the notification file submitted in full to the merger service on May 26, 2016,  </w:t>
        <w:br/>
        <w:t xml:space="preserve">regarding the exclusive control of the company Foncière de Paris by the company Gecina,  </w:t>
        <w:br/>
        <w:t xml:space="preserve">formalized by a draft information memorandum filed with the AMF on May 19, 2016  </w:t>
        <w:br/>
        <w:t xml:space="preserve">as well as by the minutes of the meeting of the board of directors of Gecina dated May 18, 2016;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transaction  </w:t>
        <w:br/>
        <w:t xml:space="preserve">1. Gecina is a real estate investment company listed on the Eurolist market of Euronext Paris.  </w:t>
        <w:br/>
        <w:t xml:space="preserve">It is active in the sector of holding and managing real estate assets for commercial (offices)  </w:t>
        <w:br/>
        <w:t xml:space="preserve">and residential (housing and student residences) use, almost exclusively in Île-de-France.  </w:t>
        <w:br/>
        <w:t xml:space="preserve">Gecina holds, manages, and develops a real estate portfolio valued at 12.9 billion euros in 2015.  </w:t>
        <w:br/>
        <w:t xml:space="preserve">Gecina is 22.99% owned by the Invanhoé Cambridge group, 13.32% by Crédit Agricole Assurance Predica,  </w:t>
        <w:br/>
        <w:t xml:space="preserve">9.7% by Norges Bank, as well as by numerous other shareholders who each hold less than 5% of Gecina's capital.  </w:t>
        <w:br/>
        <w:t xml:space="preserve">It follows from this capital distribution as well as from Gecina's statutes that it is not controlled  </w:t>
        <w:br/>
        <w:t xml:space="preserve">by any of its shareholders.  </w:t>
        <w:br/>
        <w:t xml:space="preserve">2. Foncière de Paris is a real estate investment company listed on the Eurolist market of Euronext Paris.  </w:t>
        <w:br/>
        <w:t xml:space="preserve">It holds and manages a real estate portfolio primarily composed of office real estate assets located almost exclusively  </w:t>
        <w:br/>
        <w:t xml:space="preserve">in Île-de-France as well as businesses and warehouses. It is also active in the hotel sector through the  </w:t>
        <w:br/>
        <w:t xml:space="preserve">ownership and management of nine hotels in Paris and the Paris region.  </w:t>
        <w:br/>
        <w:t xml:space="preserve">3. The notified transaction, formalized by a draft information memorandum filed with the AMF  </w:t>
        <w:br/>
        <w:t xml:space="preserve">by Gecina on May 19, 2016, consists of the acquisition of exclusive control of Foncière  </w:t>
        <w:br/>
        <w:t xml:space="preserve">de Paris by Gecina. The transaction is composed, on one hand, of an alternative public offer of purchase and exchange targeting the shares of Foncière de Paris and, on the other hand, of an alternative public offer of purchase and mixed targeting the subordinated bonds redeemable in shares of the target. As it results in the exclusive control of Foncière de Paris by Gecina, the notified transaction constitutes a concentration within the meaning of Article L. 430-1 of the Commercial Code.  </w:t>
        <w:br/>
        <w:t xml:space="preserve">4. The concerned companies together achieve a total worldwide turnover excluding tax of  </w:t>
        <w:br/>
        <w:t xml:space="preserve">more than 150 million euros (Gecina: […] euros for the fiscal year ending December 31, 2015;  </w:t>
        <w:br/>
        <w:t xml:space="preserve">Foncière de Paris: […] euros for the fiscal year ending December 31, 2015). They achieve in  </w:t>
        <w:br/>
        <w:t xml:space="preserve">France a turnover exceeding 50 million euros (Gecina: […] euros for the fiscal year ending December 31, 2015;  </w:t>
        <w:br/>
        <w:t>Foncière de Paris: […] euros for the fiscal year ending December 31, 2015). The control thresholds of I of Article L. 430-2 of the Commercial Code are therefore exceeded. Given these turnover figures, the transaction does not fall under the jurisdiction of the European Union. The concentration is therefore subject to the provisions of Articles L. 430-3 and following of the Commercial Code relating to economic concentration.</w:t>
      </w:r>
    </w:p>
    <w:p>
      <w:r>
        <w:t xml:space="preserve">II. Delimitation of the relevant markets  </w:t>
        <w:br/>
        <w:t xml:space="preserve">A. THE MARKETS FOR PRODUCTS AND SERVICES  </w:t>
        <w:br/>
        <w:t xml:space="preserve">5. The national1 and European2 competition authorities have considered, while leaving the question open,  </w:t>
        <w:br/>
        <w:t xml:space="preserve">various segmentations in the real estate services sector according to (i) the recipients of the services,  </w:t>
        <w:br/>
        <w:t xml:space="preserve">the properties being intended either for individuals, the concerned buildings being then for residential use,  </w:t>
        <w:br/>
        <w:t xml:space="preserve">or for businesses, the concerned buildings being then for commercial or professional use, (ii) the pricing method,  </w:t>
        <w:br/>
        <w:t xml:space="preserve">between free residential real estate and social or intermediate housing, the latter falling within a specific regulatory framework  </w:t>
        <w:br/>
        <w:t xml:space="preserve">in which the State plays an important role, both in terms of financial aid and allocation of housing, (iii) the type of activity  </w:t>
        <w:br/>
        <w:t xml:space="preserve">carried out in the premises (offices, commercial premises, and other activity premises such as warehouses or hotels), and (iv) the nature of the services or goods offered.  </w:t>
        <w:br/>
        <w:t xml:space="preserve">6. For this last segmentation, the following services have been identified:  </w:t>
        <w:br/>
        <w:t xml:space="preserve">(i) real estate promotion which includes the activities of construction and sale of real estate;  </w:t>
        <w:br/>
        <w:t xml:space="preserve">1 See in particular the decisions of the Authority No. 09-DCC-16 of June 22, 2009, regarding the merger between the Caisse d’Épargne and Banque  </w:t>
        <w:br/>
        <w:t xml:space="preserve">Populaire groups, No. 15-DCC-156 of December 7, 2015, regarding the joint control of an office real estate asset by Sogecap  </w:t>
        <w:br/>
        <w:t xml:space="preserve">and Prédica, No. 14-DCC-46 of April 1, 2014, regarding the joint control of an industrial real estate asset in Moselle by Norges  </w:t>
        <w:br/>
        <w:t xml:space="preserve">Bank and Prologis as well as decision C2008-79 / Letter from the Minister of Economy, Industry and Employment of August 22, 2008,  </w:t>
        <w:br/>
        <w:t xml:space="preserve">to the boards of the companies CDC and Eurosic, regarding a concentration in the real estate sector, BOCCRF No. 8 bis of October 23, 2008.  </w:t>
        <w:br/>
        <w:t xml:space="preserve">2 See the decisions of the Commission COMP/M.2110 Deutsche Bank / SEI / JV of September 25, 2000, IV/M.2825 Fortis AG SA / Bernheim-  </w:t>
        <w:br/>
        <w:t>Comofi SA of July 9, 2002 COMP/M.3370 BNP Paribas/ARI of March 9, 2004.</w:t>
      </w:r>
    </w:p>
    <w:p>
      <w:r>
        <w:t xml:space="preserve">(ii) the management of real estate assets for own account;  </w:t>
        <w:br/>
        <w:t xml:space="preserve">(iii) the management of real estate assets for third-party account (institutional investors, primarily banks and insurance companies) which includes real estate portfolio advisory and management (arbitrage and asset valuation), structuring of real estate investment operations, and management of real estate assets and specialized investment vehicles (notably real estate civil companies);  </w:t>
        <w:br/>
        <w:t xml:space="preserve">(iv) the administration of real estate properties which includes property management activities on behalf of owners and can be segmented between rental management and co-ownership management;  </w:t>
        <w:br/>
        <w:t xml:space="preserve">(v) real estate appraisal;  </w:t>
        <w:br/>
        <w:t xml:space="preserve">(vi) real estate advisory;  </w:t>
        <w:br/>
        <w:t xml:space="preserve">(vii) brokerage in real estate transactions for which brokerage in purchase/sale operations is distinguished from brokerage in rental operations.  </w:t>
        <w:br/>
        <w:t xml:space="preserve">7. In this case, the parties are simultaneously active in the markets for holding and managing real estate assets for own account (housing, excluding residential assets for social use) aimed at individuals and businesses (offices)3.  </w:t>
        <w:br/>
        <w:t>8. The question of the exact delimitation of the markets can be left open, the conclusions of the competitive analysis remaining unchanged regardless of the delimitations retained.</w:t>
      </w:r>
    </w:p>
    <w:p>
      <w:r>
        <w:t xml:space="preserve">B. THE GEOGRAPHICAL MARKETS  </w:t>
        <w:br/>
        <w:t xml:space="preserve">9. The decision-making practice4 considers that the markets relating to the real estate sector are of local dimension, while leaving the question open. However, the analysis has already been conducted at the national level for real estate services aimed at businesses when the operations were carried out by groups of national scope following a strategy of implantation according to a logic of territorial coverage.  </w:t>
        <w:br/>
        <w:t xml:space="preserve">10.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analysis."5. For other regions, the competition authorities have conducted their competitive analyses at the regional or sub-regional level.  </w:t>
        <w:br/>
        <w:t xml:space="preserve">3 Regarding residential real estate assets, the activity of Foncière de Paris is marginal.  </w:t>
        <w:br/>
        <w:t xml:space="preserve">4 See in particular the decision of the Authority No. 09-DCC-16 mentioned above and the letter from the Minister of Economy, Finance and Industry of November 25, 2005, to the boards of the company Foncière des Régions regarding a concentration in the real estate sector, BOCCRF No. 6 bis of June 21, 2006, as well as the decision of the Commission M. 2825 mentioned above.  </w:t>
        <w:br/>
        <w:t>5 See decision C2006-151/ Letter from the Minister of Economy, Finance and Industry of January 10, 2007, to the board of the Société Nationale Immobilière group, regarding a concentration in the sector of development and management of real estate parks primarily for residential purposes, BOCCRF No. 3 bis of March 23, 2007.</w:t>
      </w:r>
    </w:p>
    <w:p>
      <w:r>
        <w:rPr>
          <w:b/>
        </w:rPr>
        <w:t>[Pages 4–4]</w:t>
      </w:r>
    </w:p>
    <w:p>
      <w:r>
        <w:t xml:space="preserve">11. In this case, the activities of the parties in the real estate services sector only overlap in Île-de-France.  </w:t>
        <w:br/>
        <w:t xml:space="preserve">12. However, the question of the exact geographical delimitation of the markets will be left open, with the conclusions of the competitive analysis remaining unchanged, regardless of the delimitations adopted.  </w:t>
        <w:br/>
        <w:t xml:space="preserve">III. Competitive Analysis  </w:t>
        <w:br/>
        <w:t xml:space="preserve">13. Regarding the market for the ownership and management of residential real estate assets, the activity of Foncière de Paris being marginal and the cumulative market share of the new entity being below [0-5] %, regardless of the segmentation and geographical scope of the market, the transaction does not pose a competitive risk in this segment.  </w:t>
        <w:br/>
        <w:t xml:space="preserve">14. Regarding the market for the ownership and management of office real estate assets for own account, the new entity will hold a market share of less than [0-5] %, regardless of the segment and geographical scope of the relevant market. In this market, it will face competition from numerous national operators, such as Foncière des Régions, Icade, Unibail, Société Foncière Lyonnaise.  </w:t>
        <w:br/>
        <w:t xml:space="preserve">15. Consequently, the transaction is not likely to harm competition in the markets for the ownership and management for own account of real estate assets.  </w:t>
        <w:br/>
        <w:t xml:space="preserve">DECIDES  </w:t>
        <w:br/>
        <w:t xml:space="preserve">Sole Article: The transaction notified under number 16-094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