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https://www.autoritedelaconcurrence.fr/fr/decision-de-controle-des-concentrations/relative-la-prise-de-controle-exclusif-de-la-societe-173</w:t>
      </w:r>
    </w:p>
    <w:p>
      <w:r>
        <w:t>Pages translated : 2</w:t>
      </w:r>
    </w:p>
    <w:p/>
    <w:p>
      <w:r>
        <w:rPr>
          <w:b/>
        </w:rPr>
        <w:t>[Pages 1–2]</w:t>
      </w:r>
    </w:p>
    <w:p>
      <w:r>
        <w:t xml:space="preserve">REPUBLIC OF FRANCE  </w:t>
        <w:br/>
        <w:t xml:space="preserve">Decision No. 17-DCC-04 of January 11, 2017  </w:t>
        <w:br/>
        <w:t xml:space="preserve">regarding the exclusive control acquisition of the company Euromedis Groupe  </w:t>
        <w:br/>
        <w:t xml:space="preserve">by the company Nina SAS  </w:t>
        <w:br/>
        <w:t xml:space="preserve">The Competition Authority,  </w:t>
        <w:br/>
        <w:t xml:space="preserve">Having regard to the complete notification file submitted to the mergers department on December 14, 2016, concerning the exclusive control acquisition of the company Euromedis Groupe by the company Nina SAS, and formalized by a market declaration of the launch of a public tender offer dated December 6,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Euromedis Groupe by the company Nina SAS.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16-240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