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https://www.autoritedelaconcurrence.fr/fr/decision-de-controle-des-concentrations/relative-la-prise-de-controle-exclusif-de-la-societe-174</w:t>
      </w:r>
    </w:p>
    <w:p>
      <w:r>
        <w:t>Pages translated : 2</w:t>
      </w:r>
    </w:p>
    <w:p/>
    <w:p>
      <w:r>
        <w:rPr>
          <w:b/>
        </w:rPr>
        <w:t>[Pages 1–2]</w:t>
      </w:r>
    </w:p>
    <w:p>
      <w:r>
        <w:t xml:space="preserve">FRENCH REPUBLIC  </w:t>
        <w:br/>
        <w:t xml:space="preserve">Decision No. 17-DCC-102 of June 30, 2017  </w:t>
        <w:br/>
        <w:t xml:space="preserve">regarding the acquisition of exclusive control of the company Linefau by the  </w:t>
        <w:br/>
        <w:t xml:space="preserve">company ITM Alimentaire Région Parisienne  </w:t>
        <w:br/>
        <w:t xml:space="preserve">The Competition Authority,  </w:t>
        <w:br/>
        <w:t xml:space="preserve">Having regard to the complete notification file submitted to the mergers department on June 7, 2017, concerning the acquisition of exclusive control of the company Linefau by the company ITM Alimentaire Région Parisienne, formalized by a memorandum of understanding dated June 2, 2017;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acquisition by the company ITM Alimentaire Région Parisienne of exclusive control of the company Linefau, which operates a retail outlet predominantly selling food, with an area of 2,500 m², under the Intermarché brand, located in the city of Crécy-la-Chapelle (77). This operation constitutes a concentration operation within the meaning of Article L. 430-1 of the Commercial Code. Given the turnover achieved by the companies concerned, the operation does not fall under the jurisdiction of the European Union. However, the control thresholds related to retail trade mentioned in point II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17-115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