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https://www.autoritedelaconcurrence.fr/fr/decision-de-controle-des-concentrations/relative-la-prise-de-controle-exclusif-de-la-societe-175</w:t>
      </w:r>
    </w:p>
    <w:p>
      <w:r>
        <w:t>Pages translated : 2</w:t>
      </w:r>
    </w:p>
    <w:p/>
    <w:p>
      <w:r>
        <w:rPr>
          <w:b/>
        </w:rPr>
        <w:t>[Pages 1–2]</w:t>
      </w:r>
    </w:p>
    <w:p>
      <w:r>
        <w:t xml:space="preserve">FRENCH REPUBLIC  </w:t>
        <w:br/>
        <w:t xml:space="preserve">Decision No. 17-DCC-125 of August 9, 2017  </w:t>
        <w:br/>
        <w:t xml:space="preserve">regarding the exclusive control acquisition of the company Themis by the  </w:t>
        <w:br/>
        <w:t xml:space="preserve">company ITM Alimentaire Nord  </w:t>
        <w:br/>
        <w:t xml:space="preserve">The Competition Authority,  </w:t>
        <w:br/>
        <w:t xml:space="preserve">Having regard to the complete notification file sent to the mergers department on July 21, 2017,  </w:t>
        <w:br/>
        <w:t xml:space="preserve">concerning the exclusive control acquisition of the company Themis by the company ITM Alimentaire Nord,  </w:t>
        <w:br/>
        <w:t xml:space="preserve">formalized by a memorandum of understanding dated July 19, 2017;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acquisition by the company ITM Alimentaire Nord of exclusive  </w:t>
        <w:br/>
        <w:t xml:space="preserve">control of the company Themis, which operates a predominantly food retail outlet, with a surface area of 2,816 m² under the Intermarché brand and located in the city of Achicourt in Pas-de-Calais (62). This operation constitutes a concentration operation within the meaning of Article L. 430-1 of the Commercial Code. Given the turnover achieved by the companies involved, the operation does not fall under the jurisdiction of the European Union. However, the retail trade control thresholds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17-153 is authorized.  </w:t>
        <w:br/>
        <w:t xml:space="preserve">The Vice-President,  </w:t>
        <w:br/>
        <w:t xml:space="preserve">Emmanuel Combe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