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https://www.autoritedelaconcurrence.fr/fr/decision-de-controle-des-concentrations/relative-la-prise-de-controle-exclusif-de-la-societe-178</w:t>
      </w:r>
    </w:p>
    <w:p>
      <w:r>
        <w:t>Pages translated : 2</w:t>
      </w:r>
    </w:p>
    <w:p/>
    <w:p>
      <w:r>
        <w:rPr>
          <w:b/>
        </w:rPr>
        <w:t>[Pages 1–2]</w:t>
      </w:r>
    </w:p>
    <w:p>
      <w:r>
        <w:t xml:space="preserve">FRENCH REPUBLIC  </w:t>
        <w:br/>
        <w:t xml:space="preserve">Decision No. 17-DCC-137 of August 23, 2017  </w:t>
        <w:br/>
        <w:t xml:space="preserve">regarding the exclusive control acquisition of the company Pomalin by the  </w:t>
        <w:br/>
        <w:t xml:space="preserve">company HoldiMag  </w:t>
        <w:br/>
        <w:t xml:space="preserve">The Competition Authority,  </w:t>
        <w:br/>
        <w:t xml:space="preserve">Having regard to the complete notification file submitted to the mergers department on August 4, 2017,  </w:t>
        <w:br/>
        <w:t xml:space="preserve">concerning the exclusive control acquisition of the company Pomalin by the company HoldiMag, formalized  </w:t>
        <w:br/>
        <w:t xml:space="preserve">by a memorandum of understanding dated July 12,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HoldiMag of the  </w:t>
        <w:br/>
        <w:t xml:space="preserve">company Pomalin, which operates a food-dominant retail outlet under the Casino brand in the city of  </w:t>
        <w:br/>
        <w:t xml:space="preserve">Darvoy (45). It constitutes a concentration within the meaning of Article L. 430-1 of the Commercial Code. Given the turnover achieved by the concerned companies, the operation does not fall under the jurisdiction of the European Union. On the other hand, the retail control thresholds mentioned in II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those of retail trade in which the parties are simultaneously active. These markets are consistently defined by the decision-making practice of the Competition Authority.  </w:t>
        <w:br/>
        <w:t xml:space="preserve">3. Regardless of the segmentations retained, the estimated market shares of the new entity are below 17%.  </w:t>
        <w:br/>
        <w:t xml:space="preserve">4. Considering the elements of the file and point 384 of the guidelines of the Competition Authority relating to the control of concentrations, the operation is not likely to harm competition.  </w:t>
        <w:br/>
        <w:t>1 These thresholds are exceeded insofar as the present operation follows two operations that occurred between the same parties within a period of less than two years.</w:t>
      </w:r>
    </w:p>
    <w:p>
      <w:r>
        <w:t xml:space="preserve">DECIDES  </w:t>
        <w:br/>
        <w:t xml:space="preserve">Sole Article: The operation notified under number 17-146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