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https://www.autoritedelaconcurrence.fr/fr/decision-de-controle-des-concentrations/relative-la-prise-de-controle-exclusif-de-la-societe-18</w:t>
      </w:r>
    </w:p>
    <w:p>
      <w:r>
        <w:t>Pages translated : 4</w:t>
      </w:r>
    </w:p>
    <w:p/>
    <w:p>
      <w:r>
        <w:rPr>
          <w:b/>
        </w:rPr>
        <w:t>[Pages 1–3]</w:t>
      </w:r>
    </w:p>
    <w:p>
      <w:r>
        <w:t xml:space="preserve">FRENCH REPUBLIC  </w:t>
        <w:br/>
        <w:t xml:space="preserve">Decision No. 10-DCC-39 of April 29, 2010  </w:t>
        <w:br/>
        <w:t>regarding the exclusive control of the company Picardie Auto Services by the company CAPE Finances Automobiles</w:t>
      </w:r>
    </w:p>
    <w:p>
      <w:r>
        <w:t xml:space="preserve">The Competition Authority,  </w:t>
        <w:br/>
        <w:t xml:space="preserve">Having regard to the notification file submitted in full to the merger service on April 2, 2010, regarding the acquisition of the company Picardie Auto Services by the company CAPE Finances Automobiles, formalized by a share transfer protocol dated March 30, 2010;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CAPE Finances Automobiles is a holding company wholly owned by the Jallu-Berthier family. The company CAPE Finances Automobiles has exclusive control over the companies Courtoise Automobiles and Courtoise Distribution Automobiles, whose purpose is the operation of automotive dealerships for the Ford and Citroën brands in Oise, Val d'Oise, and Aisne. The company CAPE Finances Automobiles also holds 70% of the capital of the company Elance Automobiles, the remaining [...] being held by [...], which operates Volvo dealerships in Ain. It also holds 51% of the company Crépin Automobiles, the remaining [...] being held by [...], which operates Ford dealerships in Aisne. CAPE Finances Automobiles achieved in 2008, the last closed fiscal year, a consolidated turnover excluding taxes of [&gt;50] million, exclusively in France.  </w:t>
        <w:br/>
        <w:t>2. The company Picardie Auto Services is a company wholly owned by the company Groupe Volkswagen France. It operates Volkswagen dealerships in Venette and Jaux in Oise and in Soissons in Aisne. This company is engaged in the sale of new Volkswagen, Audi, and Skoda vehicles, used vehicles of all brands, the repair and maintenance of all motor vehicles, as well as the sale of spare parts.</w:t>
      </w:r>
    </w:p>
    <w:p>
      <w:r>
        <w:t xml:space="preserve">Picardie Auto Services achieved in 2008, the last closed fiscal year, a consolidated turnover excluding taxes of 27 million, exclusively in France.  </w:t>
        <w:br/>
        <w:t xml:space="preserve">3. Pursuant to a share transfer protocol dated March 30, 2010, the company CAPE Finances Automobiles committed to acquire 100% of the shares of the company Picardie Auto Services.  </w:t>
        <w:br/>
        <w:t>4. As it results in the exclusive control of the company Picardie Auto Services by the company CAPE Finances Automobiles, the notified operation constitutes a concentration within the meaning of Article L. 430-1 of the Commercial Code. Given the turnovers of the companies concerned, it does not have a Community dimension. However, the control thresholds mentioned in point II of Article L. 430-2 of the Commercial Code are met. This operation is therefore subject to the provisions of Articles L. 430-3 and following of the Commercial Code relating to economic concentration.</w:t>
      </w:r>
    </w:p>
    <w:p>
      <w:r>
        <w:t xml:space="preserve">II. Delimitation of relevant markets  </w:t>
        <w:br/>
        <w:t xml:space="preserve">A. DELIMITATION OF MARKETS IN TERMS OF PRODUCTS AND SERVICES  </w:t>
        <w:br/>
        <w:t xml:space="preserve">5. In the automotive distribution sector, decision-making practice distinguishes:  </w:t>
        <w:br/>
        <w:t xml:space="preserve">- the distribution of new passenger motor vehicles intended for individual customers;  </w:t>
        <w:br/>
        <w:t xml:space="preserve">- the distribution of new passenger motor vehicles intended for professional customers;  </w:t>
        <w:br/>
        <w:t xml:space="preserve">- the distribution of commercial motor vehicles (notably light utility vehicles);  </w:t>
        <w:br/>
        <w:t xml:space="preserve">- the distribution of used motor vehicles;  </w:t>
        <w:br/>
        <w:t xml:space="preserve">- the distribution of spare parts and automotive accessories;  </w:t>
        <w:br/>
        <w:t xml:space="preserve">- maintenance and repair services for motor vehicles;  </w:t>
        <w:br/>
        <w:t xml:space="preserve">- rental services.  </w:t>
        <w:br/>
        <w:t xml:space="preserve">6. There is no need to challenge these delimitations during the examination of the present operation.  </w:t>
        <w:br/>
        <w:t xml:space="preserve">7. The competitive analysis will focus on the markets where the parties are simultaneously active, namely:  </w:t>
        <w:br/>
        <w:t xml:space="preserve">- the distribution of new passenger motor vehicles intended for individual customers;  </w:t>
        <w:br/>
        <w:t xml:space="preserve">- the distribution of new commercial motor vehicles;  </w:t>
        <w:br/>
        <w:t xml:space="preserve">- the distribution of used motor vehicles;  </w:t>
        <w:br/>
        <w:t xml:space="preserve">- the distribution of spare parts and automotive accessories;  </w:t>
        <w:br/>
        <w:t>- maintenance and repair services for motor vehicles.</w:t>
      </w:r>
    </w:p>
    <w:p>
      <w:r>
        <w:t xml:space="preserve">B. GEOGRAPHICAL DELIMITATION OF MARKETS  </w:t>
        <w:br/>
        <w:t xml:space="preserve">8. Regarding the markets for the retail sale of motor vehicles, new or used, the distribution of spare parts and automotive accessories, and maintenance and repair services for motor vehicles, decision-making practice considers a local geographical dimension. In fact, the analysis of new vehicle sales markets is generally conducted at the departmental level.  </w:t>
        <w:br/>
        <w:t>9. In the case at hand, the activities of the parties overlap only in the department of Oise, on which the competitive analysis will focus.</w:t>
      </w:r>
    </w:p>
    <w:p>
      <w:r>
        <w:t xml:space="preserve">III. Competitive analysis  </w:t>
        <w:br/>
        <w:t xml:space="preserve">10. In the market for the distribution of new passenger vehicles intended for individuals, in the department of Oise, the market share of the dealerships operated by CAPE Finances Automobiles is less than 5%, while that of Picardie Auto Services is less than 2%. Thus, following the operation, the cumulative market share of the new entity will be less than 7%. Furthermore, the new entity will face competition from numerous players such as the Gueudet, Mariscal, or PGA groups.  </w:t>
        <w:br/>
        <w:t xml:space="preserve">11. In the market for the distribution of new commercial vehicles in the department of Oise, the market share of the new entity will be less than 1%.  </w:t>
        <w:br/>
        <w:t xml:space="preserve">12. In the market for the distribution of used vehicles in the department of Oise, the market share of the new entity will be less than 1%.  </w:t>
        <w:br/>
        <w:t xml:space="preserve">13. In the market for the retail sale of spare parts and automotive accessories, the parties have not been able to provide their market shares. However, it should be noted that this acquisition concerns Volkswagen brand dealerships, of which the acquirer is not a dealer. Moreover, the new entity will continue to face competition from other Volkswagen brand dealers, as well as dealers of other brands, numerous garages, and specialized chains such as Speedy, Midas, or Norauto, which may offer consumers spare parts and accessories identical to or of equivalent quality to those distributed by the two entities.  </w:t>
        <w:br/>
        <w:t>14. In the market for maintenance and repair services for motor vehicles, the parties have not been able to provide their market shares. However, it should be noted that...</w:t>
      </w:r>
    </w:p>
    <w:p>
      <w:r>
        <w:rPr>
          <w:b/>
        </w:rPr>
        <w:t>[Pages 4–4]</w:t>
      </w:r>
    </w:p>
    <w:p>
      <w:r>
        <w:t xml:space="preserve">that the merged entity will face competition from independent Volkswagen-approved repairers, in addition to numerous non-approved repairers, and specialized brands such as Speedy or Norauto, which may offer consumers maintenance and repair services for motor vehicles of equivalent quality to those provided by the two entities.  </w:t>
        <w:br/>
        <w:t xml:space="preserve">15. It follows from the preceding elements that the operation is not likely to harm competition in the relevant markets.  </w:t>
        <w:br/>
        <w:t xml:space="preserve">DECIDES  </w:t>
        <w:br/>
        <w:t xml:space="preserve">Sole Article: The operation notified under number 10-0034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