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https://www.autoritedelaconcurrence.fr/fr/decision-de-controle-des-concentrations/relative-la-prise-de-controle-exclusif-de-la-societe-180</w:t>
      </w:r>
    </w:p>
    <w:p>
      <w:r>
        <w:t>Pages translated : 5</w:t>
      </w:r>
    </w:p>
    <w:p/>
    <w:p>
      <w:r>
        <w:rPr>
          <w:b/>
        </w:rPr>
        <w:t>[Pages 1–3]</w:t>
      </w:r>
    </w:p>
    <w:p>
      <w:r>
        <w:t xml:space="preserve">FRENCH REPUBLIC  </w:t>
        <w:br/>
        <w:t xml:space="preserve">Decision No. 17-DCC-147 of September 1, 2017  </w:t>
        <w:br/>
        <w:t>concerning the exclusive control of Labeyrie Traiteur Surgelés by the Ajinomoto group</w:t>
      </w:r>
    </w:p>
    <w:p>
      <w:r>
        <w:t xml:space="preserve">The Competition Authority,  </w:t>
        <w:br/>
        <w:t xml:space="preserve">Having regard to the notification file submitted in full to the merger service on August 3, 2017, concerning the exclusive control of Labeyrie Traiteur Surgelés by the Ajinomoto group formalized by a share purchase agreement dated July 19,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Ajinomoto Food Europe SA (hereinafter "Ajinomoto"), a subsidiary of the Japanese company Ajinomoto, listed on the Tokyo Stock Exchange, markets frozen catering products in France made from Asian recipes, particularly Japanese. The Ajinomoto group is active worldwide in the sectors of food products, chemicals, and health.  </w:t>
        <w:br/>
        <w:t xml:space="preserve">2. Labeyrie Traiteur Surgelés (hereinafter "LTS") is primarily active in the production and distribution of so-called "festive" frozen food products in France. It is owned by Labeyrie Fine Foods, which is jointly controlled by the agricultural cooperative Lur Berri and the investment fund PAI Partners1.  </w:t>
        <w:br/>
        <w:t xml:space="preserve">3. The operation, formalized by a share purchase agreement dated July 19, 2017, consists of the acquisition of the entire share capital of LTS by Ajinomoto.  </w:t>
        <w:br/>
        <w:t>1 See the European Commission decision COMP/M.7281 Lur Berri/PAI Partners/Labeyrie Fine Foods of July 8, 2014.</w:t>
      </w:r>
    </w:p>
    <w:p>
      <w:r>
        <w:t xml:space="preserve">4. In that it results in the exclusive control of LTS by the Ajinomoto group, the notified operation constitutes a concentration within the meaning of Article L. 430-1 of the Commercial Code.  </w:t>
        <w:br/>
        <w:t>5. The companies concerned together achieve a total worldwide turnover excluding taxes of more than 150 million euros (Ajinomoto: [...] euros for the fiscal year ending March 31, 2017; LTS: [...] euros for the fiscal year ending June 30, 2016). Each of these companies has achieved in France a total turnover excluding taxes exceeding 50 million euros (Ajinomoto: [...] euros for the fiscal year ending March 31, 2017; LTS: [...] euros for the fiscal year ending June 30, 2016).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Ajinomoto produces, in particular, frozen catering starters and main dishes made from Asian recipes, especially Japanese. LTS produces appetizers, starters, main dishes, and desserts and pastries, made from Western recipes. The parties are therefore simultaneously active in the market for frozen catering starters and main dishes. LTS is also active in the sectors of frozen appetizers and desserts, which will be taken into account in the analysis of conglomerate effects.  </w:t>
        <w:br/>
        <w:t xml:space="preserve">A. DEFINITION OF PRODUCT MARKETS  </w:t>
        <w:br/>
        <w:t xml:space="preserve">7. The Competition Authority has segmented the catering product markets based on the manufacturing technology used (canned, frozen, and fresh products)2. In this case, the parties are simultaneously present in the production and marketing of frozen catering products.  </w:t>
        <w:br/>
        <w:t xml:space="preserve">8. The decision-making practice has also considered distinguishing different categories of products, such as appetizers, starters, main dishes, and desserts3. In this case, the activities of the parties overlap in the starters and main dishes.  </w:t>
        <w:br/>
        <w:t xml:space="preserve">9. The decision-making practice has also considered a sub-segmentation based on the specificity of certain recipes ("regional" or "exotic," for example)4. In this case, the products marketed by the parties are, on the one hand, products derived from traditional recipes (LTS) and, on the other hand, products inspired by Asian recipes (Ajinomoto).  </w:t>
        <w:br/>
        <w:t xml:space="preserve">10. The Authority has also segmented these markets according to distribution channels (large and medium-sized stores hereinafter, "GMS", out-of-home catering, and agri-food industries). The activities of the parties only overlap in the GMS channel. Regarding the latter, an additional sub-segmentation was considered depending on whether the products are sold under the manufacturer's brand (MDF) or under the distributor's brand (MDD)5. Indeed, MDD product manufacturers only operate according to a specification defined by the retailer and have no role in defining the commercial strategies of these brands. The identity of the operator supplying a retailer for its MDD remains unknown to the final consumer. However, the Authority has considered, for several food markets, that MDD products can exert significant competitive pressure on MDF products, particularly in cases where, from the demand perspective, the recognition of MDF is low and where, from the supply perspective, the same manufacturers supply the GMS with both MDD and MDF products. In this case, the activities of the parties overlap in the MDF products.  </w:t>
        <w:br/>
        <w:t xml:space="preserve">11. In any case, the question of the exact delimitation of these markets can be left open insofar as, regardless of the segmentation retained, the conclusions of the competitive analysis remain unchanged.  </w:t>
        <w:br/>
        <w:t xml:space="preserve">B. GEOGRAPHICAL DELIMITATION OF MARKETS  </w:t>
        <w:br/>
        <w:t>12. The Authority considers that the markets for catering products are of national dimension6. Indeed, preferences, tastes, and consumption habits differ significantly from one country to another, and intra-European trade in these products remains limited. There is no reason to challenge this delimitation during the examination of the present operation.</w:t>
      </w:r>
    </w:p>
    <w:p>
      <w:r>
        <w:t xml:space="preserve">III. Competitive analysis  </w:t>
        <w:br/>
        <w:t xml:space="preserve">A. ANALYSIS OF HORIZONTAL EFFECTS  </w:t>
        <w:br/>
        <w:t xml:space="preserve">1. FROZEN STARTERS  </w:t>
        <w:br/>
        <w:t xml:space="preserve">13. Regarding the manufacturing and marketing of frozen starters to GMS, the market share of LTS is estimated at [0-5]% and that of Ajinomoto at [0-5]%, resulting in a combined market share of [0-5]%7.  </w:t>
        <w:br/>
        <w:t xml:space="preserve">5 The distinction that is also usually made between products sold in self-service and products sold by the cut is not relevant in this case, as it concerns only frozen products.  </w:t>
        <w:br/>
        <w:t xml:space="preserve">6 See in particular decisions No. 10-DCC-87 and No. 16-DCC-55 cited above; and the decision of the Competition Authority No. 13-DCC-157 of October 31, 2013, concerning the exclusive control of certain assets of Norway Seafoods SAS and Norway Seafoods Boulogne SAS by Maïsadour.  </w:t>
        <w:br/>
        <w:t>7 A segmentation of this market according to the type of recipe does not result in any overlap of activities between the parties, as the products marketed by the parties are, on the one hand, products derived from traditional recipes and, on the other hand, products inspired by Asian recipes.</w:t>
      </w:r>
    </w:p>
    <w:p>
      <w:r>
        <w:rPr>
          <w:b/>
        </w:rPr>
        <w:t>[Pages 4–5]</w:t>
      </w:r>
    </w:p>
    <w:p>
      <w:r>
        <w:t>14. Regarding specifically the frozen entries sold under MDF, the market shares are respectively [0-5]% for LTS and [0-5]% for Ajinomoto, resulting in a combined market share of [0-5]%.</w:t>
      </w:r>
    </w:p>
    <w:p>
      <w:r>
        <w:t>15. Given these limited market shares, the operation is not likely to harm competition through horizontal effects in these markets.</w:t>
      </w:r>
    </w:p>
    <w:p>
      <w:r>
        <w:t>2. FROZEN MAIN DISHES</w:t>
      </w:r>
    </w:p>
    <w:p>
      <w:r>
        <w:t>16. Concerning the manufacturing and marketing of frozen main dishes to GMS, the market share of LTS is estimated at [0-5]% and that of Ajinomoto at [0-5]%, resulting in a combined market share of [0-5]%8.</w:t>
      </w:r>
    </w:p>
    <w:p>
      <w:r>
        <w:t>17. Specifically regarding the frozen main dishes sold under MDF, the notifying party estimated that the market share of the new entity does not exceed [0-5]%.</w:t>
      </w:r>
    </w:p>
    <w:p>
      <w:r>
        <w:t>18. Given these limited market shares, the operation is not likely to harm competition through horizontal effects in these markets.</w:t>
      </w:r>
    </w:p>
    <w:p>
      <w:r>
        <w:t>B. ANALYSIS OF CONGLOMERATE EFFECTS</w:t>
      </w:r>
    </w:p>
    <w:p>
      <w:r>
        <w:t>19. Following the operation, the new entity will hold an expanded range of frozen products, as Ajinomoto, which has a limited presence in these products in France, acquires the complete range held by LTS.</w:t>
      </w:r>
    </w:p>
    <w:p>
      <w:r>
        <w:t>20. A concentration has conglomerate effects when the new entity extends or strengthens its presence in several markets whose connection may allow it to increase its market power. However, it is unlikely that holding a range of products or a product portfolio will harm competition in one or more markets if the new entity does not benefit from a strong position in a market from which it can leverage an effect. The decision-making practice generally considers that a risk of conglomerate effect can be ruled out as long as the market share of the company resulting from the operation in the relevant markets does not exceed 30%.</w:t>
      </w:r>
    </w:p>
    <w:p>
      <w:r>
        <w:t>21. In this case, the market shares of the new entity exceed 30% in the only market for frozen appetizer sales to GMS ([50-60]% for MDD; [50-60]% for MDF).</w:t>
      </w:r>
    </w:p>
    <w:p>
      <w:r>
        <w:t>22. As a preliminary point, LTS already markets all categories of frozen catering products (appetizers, entries, main dishes, and desserts). Thus, the operation does not have the effect of expanding this range but rather strengthening it in certain product categories (entries and frozen main dishes prepared from Asian recipes). Furthermore, this strong position does not result from the operation as Ajinomoto does not market frozen appetizers. Additionally, Ajinomoto's positions in the markets for frozen entries and main dishes are very limited, below [0-5]%.</w:t>
      </w:r>
    </w:p>
    <w:p>
      <w:r>
        <w:t>23. The strengthening of the new entity's range in the categories of frozen entries and main dishes will not have the effect of reducing competition in the relevant markets, as significant competitors also hold a similar range (Tipiak) or equivalent (Marie: entries, main dishes, desserts; Findus and Kauffer’s: appetizers, entries, and main dishes). These competitors, of national scale, also have well-known brands. Furthermore, Tipiak, Marie, Findus, and Charal offer, in addition to traditional recipes, exotic recipes similar to those marketed by Ajinomoto.</w:t>
      </w:r>
    </w:p>
    <w:p>
      <w:r>
        <w:t>24. Finally, the new entity will market its products to GMS that have strong negotiating power through their purchasing centers. This negotiating power is all the stronger as the products of the new entity are, to a large extent, marketed under MDD.</w:t>
      </w:r>
    </w:p>
    <w:p>
      <w:r>
        <w:t>25. Consequently, the present operation is not likely to harm competition through conglomerate effects in the markets for frozen catering products.</w:t>
      </w:r>
    </w:p>
    <w:p>
      <w:r>
        <w:t>DECIDES</w:t>
      </w:r>
    </w:p>
    <w:p>
      <w:r>
        <w:t>Sole Article: The operation notified under number 17-139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