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https://www.autoritedelaconcurrence.fr/fr/decision-de-controle-des-concentrations/relative-la-prise-de-controle-exclusif-de-la-societe-181</w:t>
      </w:r>
    </w:p>
    <w:p>
      <w:r>
        <w:t>Pages translated : 2</w:t>
      </w:r>
    </w:p>
    <w:p/>
    <w:p>
      <w:r>
        <w:rPr>
          <w:b/>
        </w:rPr>
        <w:t>[Pages 1–2]</w:t>
      </w:r>
    </w:p>
    <w:p>
      <w:r>
        <w:t xml:space="preserve">REPUBLIC OF FRANCE  </w:t>
        <w:br/>
        <w:t xml:space="preserve">Decision No. 17-DCC-15 of February 3, 2017  </w:t>
        <w:br/>
        <w:t xml:space="preserve">regarding the acquisition of the company Etablissements Labarthe  </w:t>
        <w:br/>
        <w:t xml:space="preserve">by the company Eden Auto  </w:t>
        <w:br/>
        <w:t xml:space="preserve">The Competition Authority,  </w:t>
        <w:br/>
        <w:t xml:space="preserve">Having regard to the notification file sent to the mergers department on December 21, 2016, and  </w:t>
        <w:br/>
        <w:t xml:space="preserve">declared complete on January 24, 2017, concerning the exclusive control acquisition of the company  </w:t>
        <w:br/>
        <w:t xml:space="preserve">Etablissements Labarthe by the company Eden Auto, formalized by a letter of intent dated  </w:t>
        <w:br/>
        <w:t xml:space="preserve">December 15, 2016;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of the company Etablissements  </w:t>
        <w:br/>
        <w:t xml:space="preserve">Labarthe, active in the sector of distribution, maintenance, and repair of Peugeot brand motor vehicles in the department of Landes (40), by the company Eden Auto. This operation constitutes a concentration operation within the meaning of Article L. 430-1 of the Commercial Code. Given the turnover generated by the companies involved, the operation does not fall under the jurisdiction of the European Union. However, the retail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16-273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